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4DA6B503" w:rsidR="00364921" w:rsidRPr="00AD077E" w:rsidRDefault="004D70C4" w:rsidP="0036492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F468C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</w:t>
      </w:r>
      <w:r w:rsidR="004A33A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1D174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131BE2">
      <w:pPr>
        <w:spacing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62EB9E5A" w:rsidR="00364921" w:rsidRPr="00AD077E" w:rsidRDefault="00292505" w:rsidP="00131BE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87412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1D174D">
        <w:rPr>
          <w:rFonts w:ascii="Times New Roman" w:hAnsi="Times New Roman" w:cs="Times New Roman"/>
        </w:rPr>
        <w:t>2</w:t>
      </w:r>
    </w:p>
    <w:p w14:paraId="20C8F953" w14:textId="2E80FA5B" w:rsidR="00364921" w:rsidRPr="00AD077E" w:rsidRDefault="00364921" w:rsidP="00131BE2">
      <w:pPr>
        <w:spacing w:line="276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38910CE3" w:rsidR="00364921" w:rsidRPr="00A601B6" w:rsidRDefault="00364921" w:rsidP="00131BE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874125" w:rsidRPr="00874125">
        <w:rPr>
          <w:rFonts w:ascii="Times New Roman" w:hAnsi="Times New Roman" w:cs="Times New Roman"/>
          <w:b/>
          <w:bCs/>
        </w:rPr>
        <w:t>Przebudowa z rozbudową drogi powiatowej nr 1383C Dąbrówka Królewska – Gruta w km 2+540 – 3+975</w:t>
      </w:r>
    </w:p>
    <w:p w14:paraId="5D63B107" w14:textId="68C6AF4E" w:rsidR="00364921" w:rsidRPr="003A6665" w:rsidRDefault="00364921" w:rsidP="00131BE2">
      <w:pPr>
        <w:spacing w:after="120" w:line="276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  <w:r w:rsidR="000F5B39">
        <w:rPr>
          <w:rFonts w:ascii="Times New Roman" w:hAnsi="Times New Roman" w:cs="Times New Roman"/>
          <w:b/>
          <w:color w:val="000000"/>
          <w:lang w:eastAsia="pl-PL"/>
        </w:rPr>
        <w:t xml:space="preserve"> II</w:t>
      </w:r>
    </w:p>
    <w:p w14:paraId="548B54A6" w14:textId="64FCF944" w:rsidR="00364921" w:rsidRPr="00870491" w:rsidRDefault="00364921" w:rsidP="00131BE2">
      <w:pPr>
        <w:spacing w:after="120" w:line="276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1129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1347121E" w14:textId="583E6C1B" w:rsidR="00A55AA5" w:rsidRDefault="00A55AA5" w:rsidP="00E647AB">
      <w:pPr>
        <w:numPr>
          <w:ilvl w:val="0"/>
          <w:numId w:val="12"/>
        </w:numPr>
        <w:spacing w:after="120"/>
        <w:ind w:left="426" w:hanging="426"/>
        <w:jc w:val="both"/>
      </w:pPr>
      <w:r>
        <w:t xml:space="preserve">W związku z rozbieżnościami w technologii wykonania robót związanych ze wzmocnieniem podłoża, gdzie na przekrojach występuje wykonanie warstwy geowłókniny, </w:t>
      </w:r>
      <w:proofErr w:type="spellStart"/>
      <w:r>
        <w:t>georusztu</w:t>
      </w:r>
      <w:proofErr w:type="spellEnd"/>
      <w:r>
        <w:t xml:space="preserve"> heksagonalnego oraz warstwy mieszanki niezwiązanej C</w:t>
      </w:r>
      <w:r>
        <w:rPr>
          <w:vertAlign w:val="subscript"/>
        </w:rPr>
        <w:t>50/30</w:t>
      </w:r>
      <w:r>
        <w:t>, a w przedmiarze założono wykonanie warstwy gruntu stabilizowanego cementem, zwracamy się z prośbą o podanie, który dokument należy brać pod uwagę podczas sporządzania kosztorysu ofertowego. Zwracamy również uwagę na różnicę między przekrojami a przedmiarem dotyczącą grubości poszczególnych warstw podbudowy i warstw konstrukcyjnych nawierzchni.</w:t>
      </w:r>
    </w:p>
    <w:p w14:paraId="6DC62A0A" w14:textId="7AEDEC0C" w:rsidR="00A55AA5" w:rsidRPr="00BC633E" w:rsidRDefault="00A55AA5" w:rsidP="00E647AB">
      <w:pPr>
        <w:spacing w:after="120"/>
        <w:ind w:left="426"/>
        <w:jc w:val="both"/>
        <w:rPr>
          <w:rFonts w:ascii="Comic Sans MS" w:hAnsi="Comic Sans MS"/>
        </w:rPr>
      </w:pPr>
      <w:r w:rsidRPr="006466EB">
        <w:rPr>
          <w:rFonts w:ascii="Comic Sans MS" w:hAnsi="Comic Sans MS"/>
          <w:b/>
          <w:bCs/>
        </w:rPr>
        <w:t xml:space="preserve">Odpowiedź: </w:t>
      </w:r>
      <w:r w:rsidR="00BC633E" w:rsidRPr="00F468CE">
        <w:rPr>
          <w:rFonts w:ascii="Comic Sans MS" w:hAnsi="Comic Sans MS"/>
          <w:sz w:val="22"/>
          <w:szCs w:val="22"/>
        </w:rPr>
        <w:t>Należy wycenić zgodnie z przedmiarem. W załączeniu poprawione rysunki konstrukcyjne</w:t>
      </w:r>
      <w:r w:rsidR="00BC633E" w:rsidRPr="00BC633E">
        <w:rPr>
          <w:rFonts w:ascii="Comic Sans MS" w:hAnsi="Comic Sans MS"/>
        </w:rPr>
        <w:t>.</w:t>
      </w:r>
    </w:p>
    <w:p w14:paraId="36981504" w14:textId="3583A3A6" w:rsidR="00CA6066" w:rsidRDefault="00CA6066" w:rsidP="00E647AB">
      <w:pPr>
        <w:pStyle w:val="Akapitzlist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W przedmiarze brak jest warstw geowłókniny, </w:t>
      </w:r>
      <w:proofErr w:type="spellStart"/>
      <w:r>
        <w:rPr>
          <w:rFonts w:eastAsia="Times New Roman"/>
        </w:rPr>
        <w:t>georusztu</w:t>
      </w:r>
      <w:proofErr w:type="spellEnd"/>
      <w:r>
        <w:rPr>
          <w:rFonts w:eastAsia="Times New Roman"/>
        </w:rPr>
        <w:t xml:space="preserve"> dla poszerzenia jezdni, zatoki autobusowej, peronu, chodnika, zjazdów. Prosimy o uzupełnienie przedmiarów.</w:t>
      </w:r>
    </w:p>
    <w:p w14:paraId="1629E84E" w14:textId="148579F4" w:rsidR="00A55AA5" w:rsidRPr="00F468CE" w:rsidRDefault="00A55AA5" w:rsidP="00E647AB">
      <w:pPr>
        <w:pStyle w:val="Akapitzlist"/>
        <w:spacing w:after="120"/>
        <w:ind w:left="426"/>
        <w:contextualSpacing w:val="0"/>
        <w:jc w:val="both"/>
        <w:rPr>
          <w:rFonts w:ascii="Comic Sans MS" w:eastAsia="Times New Roman" w:hAnsi="Comic Sans MS"/>
          <w:sz w:val="22"/>
          <w:szCs w:val="22"/>
        </w:rPr>
      </w:pPr>
      <w:r w:rsidRPr="002B612D">
        <w:rPr>
          <w:rFonts w:ascii="Comic Sans MS" w:eastAsia="Times New Roman" w:hAnsi="Comic Sans MS"/>
          <w:b/>
          <w:bCs/>
        </w:rPr>
        <w:t>Odpowiedź</w:t>
      </w:r>
      <w:r w:rsidRPr="002B612D">
        <w:rPr>
          <w:rFonts w:ascii="Comic Sans MS" w:eastAsia="Times New Roman" w:hAnsi="Comic Sans MS"/>
        </w:rPr>
        <w:t xml:space="preserve">: </w:t>
      </w:r>
      <w:r w:rsidR="00A61F00" w:rsidRPr="00F468CE">
        <w:rPr>
          <w:rFonts w:ascii="Comic Sans MS" w:eastAsia="Times New Roman" w:hAnsi="Comic Sans MS"/>
          <w:sz w:val="22"/>
          <w:szCs w:val="22"/>
        </w:rPr>
        <w:t>Załączono poprawione rysunki konstrukcyjne</w:t>
      </w:r>
      <w:r w:rsidR="000F5B39" w:rsidRPr="00F468CE">
        <w:rPr>
          <w:rFonts w:ascii="Comic Sans MS" w:eastAsia="Times New Roman" w:hAnsi="Comic Sans MS"/>
          <w:sz w:val="22"/>
          <w:szCs w:val="22"/>
        </w:rPr>
        <w:t>.</w:t>
      </w:r>
    </w:p>
    <w:p w14:paraId="036B0682" w14:textId="166C2EC4" w:rsidR="00CA6066" w:rsidRDefault="00CA6066" w:rsidP="005D6268">
      <w:pPr>
        <w:pStyle w:val="Akapitzlist"/>
        <w:numPr>
          <w:ilvl w:val="0"/>
          <w:numId w:val="12"/>
        </w:numPr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W przedmiarze brak jest warstwy mieszanki niezwiązanej C50/30 gr. 35 cm dla poszerzenia jezdni oraz zatoki autobusowej. Prosimy o uzupełnienie przedmiarów.</w:t>
      </w:r>
    </w:p>
    <w:p w14:paraId="4F4ADD49" w14:textId="7108BDCF" w:rsidR="00A55AA5" w:rsidRPr="00F468CE" w:rsidRDefault="00A55AA5" w:rsidP="00E647AB">
      <w:pPr>
        <w:pStyle w:val="Akapitzlist"/>
        <w:spacing w:before="120" w:after="120"/>
        <w:ind w:left="426"/>
        <w:contextualSpacing w:val="0"/>
        <w:jc w:val="both"/>
        <w:rPr>
          <w:rFonts w:ascii="Comic Sans MS" w:eastAsia="Times New Roman" w:hAnsi="Comic Sans MS"/>
          <w:sz w:val="22"/>
          <w:szCs w:val="22"/>
        </w:rPr>
      </w:pPr>
      <w:r w:rsidRPr="002B612D">
        <w:rPr>
          <w:rFonts w:ascii="Comic Sans MS" w:eastAsia="Times New Roman" w:hAnsi="Comic Sans MS"/>
          <w:b/>
          <w:bCs/>
        </w:rPr>
        <w:t>Odpowiedź</w:t>
      </w:r>
      <w:r w:rsidRPr="002B612D">
        <w:rPr>
          <w:rFonts w:ascii="Comic Sans MS" w:eastAsia="Times New Roman" w:hAnsi="Comic Sans MS"/>
        </w:rPr>
        <w:t xml:space="preserve">: </w:t>
      </w:r>
      <w:r w:rsidR="00BC633E" w:rsidRPr="00F468CE">
        <w:rPr>
          <w:rFonts w:ascii="Comic Sans MS" w:eastAsia="Times New Roman" w:hAnsi="Comic Sans MS"/>
          <w:sz w:val="22"/>
          <w:szCs w:val="22"/>
        </w:rPr>
        <w:t>Należy wycenić zgodnie z przedmiarem. Poprawiono rysunki k</w:t>
      </w:r>
      <w:r w:rsidR="00422DB5" w:rsidRPr="00F468CE">
        <w:rPr>
          <w:rFonts w:ascii="Comic Sans MS" w:eastAsia="Times New Roman" w:hAnsi="Comic Sans MS"/>
          <w:sz w:val="22"/>
          <w:szCs w:val="22"/>
        </w:rPr>
        <w:t>o</w:t>
      </w:r>
      <w:r w:rsidR="00BC633E" w:rsidRPr="00F468CE">
        <w:rPr>
          <w:rFonts w:ascii="Comic Sans MS" w:eastAsia="Times New Roman" w:hAnsi="Comic Sans MS"/>
          <w:sz w:val="22"/>
          <w:szCs w:val="22"/>
        </w:rPr>
        <w:t>nstrukcyjne</w:t>
      </w:r>
      <w:r w:rsidR="00422DB5" w:rsidRPr="00F468CE">
        <w:rPr>
          <w:rFonts w:ascii="Comic Sans MS" w:eastAsia="Times New Roman" w:hAnsi="Comic Sans MS"/>
          <w:sz w:val="22"/>
          <w:szCs w:val="22"/>
        </w:rPr>
        <w:t>.</w:t>
      </w:r>
    </w:p>
    <w:p w14:paraId="3BE56AB7" w14:textId="0D9341A4" w:rsidR="00CA6066" w:rsidRDefault="00CA6066" w:rsidP="005D6268">
      <w:pPr>
        <w:pStyle w:val="Akapitzlist"/>
        <w:numPr>
          <w:ilvl w:val="0"/>
          <w:numId w:val="12"/>
        </w:numPr>
        <w:tabs>
          <w:tab w:val="left" w:pos="426"/>
        </w:tabs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Dotyczy D.04.07.01a W SST w pkt. 1.3 wskazano do zaprojektowania mieszankę na warstwę podbudowy z AC 22 P dla kategorii ruchu KR 3-4 na asfalcie 50/70. Wnosimy o wyrażenie zgody na możliwość zastosowanie do warstwy podbudowy AC 22 P, KR 3-4 asfaltu 35/50. Proponowana zmiana jest zgodna z wymaganiami technicznymi przywołanymi w pkt. 10.3 SST WT-2 2014, pozwoli również zwiększyć odporność mm-a na deformacje trwałe, a w konsekwencji wydłużyć okres eksploatacji nawierzchni.</w:t>
      </w:r>
    </w:p>
    <w:p w14:paraId="6549EE18" w14:textId="31A400E9" w:rsidR="00F76157" w:rsidRPr="002B612D" w:rsidRDefault="00F76157" w:rsidP="00E647AB">
      <w:pPr>
        <w:pStyle w:val="Akapitzlist"/>
        <w:tabs>
          <w:tab w:val="left" w:pos="426"/>
        </w:tabs>
        <w:spacing w:before="120" w:after="120"/>
        <w:ind w:left="426"/>
        <w:contextualSpacing w:val="0"/>
        <w:jc w:val="both"/>
        <w:rPr>
          <w:rFonts w:ascii="Comic Sans MS" w:eastAsia="Times New Roman" w:hAnsi="Comic Sans MS"/>
        </w:rPr>
      </w:pPr>
      <w:r w:rsidRPr="002B612D">
        <w:rPr>
          <w:rFonts w:ascii="Comic Sans MS" w:eastAsia="Times New Roman" w:hAnsi="Comic Sans MS"/>
          <w:b/>
          <w:bCs/>
        </w:rPr>
        <w:lastRenderedPageBreak/>
        <w:t>Odpowiedź</w:t>
      </w:r>
      <w:r w:rsidRPr="002B612D">
        <w:rPr>
          <w:rFonts w:ascii="Comic Sans MS" w:eastAsia="Times New Roman" w:hAnsi="Comic Sans MS"/>
        </w:rPr>
        <w:t xml:space="preserve">: </w:t>
      </w:r>
      <w:r w:rsidR="00422DB5" w:rsidRPr="00F468CE">
        <w:rPr>
          <w:rFonts w:ascii="Comic Sans MS" w:eastAsia="Times New Roman" w:hAnsi="Comic Sans MS"/>
          <w:sz w:val="22"/>
          <w:szCs w:val="22"/>
        </w:rPr>
        <w:t>Zamawiający wyraża zgodę na zastosowanie asfaltu 35/50.</w:t>
      </w:r>
    </w:p>
    <w:p w14:paraId="6B3BBEE0" w14:textId="6A2102CA" w:rsidR="00CA6066" w:rsidRDefault="00CA6066" w:rsidP="005D6268">
      <w:pPr>
        <w:pStyle w:val="Akapitzlist"/>
        <w:numPr>
          <w:ilvl w:val="0"/>
          <w:numId w:val="12"/>
        </w:numPr>
        <w:tabs>
          <w:tab w:val="left" w:pos="426"/>
        </w:tabs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Dotyczy D05.03.05b. W SST pkt. 1.3  wskazano do zaprojektowania mieszankę na warstwę wiążącą/wyrównawczą z AC16 W dla kategorii ruchu KR3-4 na asfalcie 50/70. Wnosimy o wyrażenie zgody na możliwość zastosowania do warstwy wiążącej/wyrównawczej z AC 16 W asfaltu 35/50 dla kategorii ruchu KR 3-4. Proponowana zmiana jest zgodna z przywołanymi w pkt. 10.3 wymaganiami technicznymi WT-2 2014, pozwoli zwiększyć odporność mm-a na deformacje trwałe, a w konsekwencji wydłużyć okres eksploatacji nawierzchni.</w:t>
      </w:r>
    </w:p>
    <w:p w14:paraId="0F74EBBB" w14:textId="5FA44734" w:rsidR="00F76157" w:rsidRPr="002B612D" w:rsidRDefault="00F76157" w:rsidP="00E647AB">
      <w:pPr>
        <w:pStyle w:val="Akapitzlist"/>
        <w:tabs>
          <w:tab w:val="left" w:pos="426"/>
        </w:tabs>
        <w:spacing w:before="120" w:after="120"/>
        <w:ind w:left="426"/>
        <w:contextualSpacing w:val="0"/>
        <w:jc w:val="both"/>
        <w:rPr>
          <w:rFonts w:ascii="Comic Sans MS" w:eastAsia="Times New Roman" w:hAnsi="Comic Sans MS"/>
        </w:rPr>
      </w:pPr>
      <w:r w:rsidRPr="002B612D">
        <w:rPr>
          <w:rFonts w:ascii="Comic Sans MS" w:eastAsia="Times New Roman" w:hAnsi="Comic Sans MS"/>
          <w:b/>
          <w:bCs/>
        </w:rPr>
        <w:t>Odpowiedź</w:t>
      </w:r>
      <w:r w:rsidRPr="002B612D">
        <w:rPr>
          <w:rFonts w:ascii="Comic Sans MS" w:eastAsia="Times New Roman" w:hAnsi="Comic Sans MS"/>
        </w:rPr>
        <w:t xml:space="preserve">: </w:t>
      </w:r>
      <w:r w:rsidR="00422DB5" w:rsidRPr="00F468CE">
        <w:rPr>
          <w:rFonts w:ascii="Comic Sans MS" w:eastAsia="Times New Roman" w:hAnsi="Comic Sans MS"/>
          <w:sz w:val="22"/>
          <w:szCs w:val="22"/>
        </w:rPr>
        <w:t>Zamawiający wyraża zgodę na zastosowanie asfaltu 35/50</w:t>
      </w:r>
      <w:r w:rsidR="000F5B39" w:rsidRPr="00F468CE">
        <w:rPr>
          <w:rFonts w:ascii="Comic Sans MS" w:eastAsia="Times New Roman" w:hAnsi="Comic Sans MS"/>
          <w:sz w:val="22"/>
          <w:szCs w:val="22"/>
        </w:rPr>
        <w:t>.</w:t>
      </w:r>
    </w:p>
    <w:p w14:paraId="6E1693C1" w14:textId="55F12D7E" w:rsidR="00CA6066" w:rsidRDefault="00CA6066" w:rsidP="00E647AB">
      <w:pPr>
        <w:pStyle w:val="Akapitzlist"/>
        <w:numPr>
          <w:ilvl w:val="0"/>
          <w:numId w:val="12"/>
        </w:numPr>
        <w:tabs>
          <w:tab w:val="left" w:pos="284"/>
        </w:tabs>
        <w:spacing w:after="120"/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Dotyczy D.05.03.05b W SST w pkt 2.4 dla projektowanej mieszanki na warstwę wiążącą/wyrównawczą z AC 16 W dla kategorii ruchu KR 3 nie przedstawiono wymagań dla kruszywa niełamanego drobnego co jest niezgodne z instrukcją techniczną WT-1 2014 przywołana w pkt. 10.3. Zgodnie z przywołanymi wymaganiami WT-1 2014 materiał ten można stosować do mm-a do warstwy wiążącej/wyrównawczej dla kategorii ruchu KR1-7. Zastosowanie materiału w postaci kruszywa drobnego niełamanego do projektowanej mieszanki z AC 16 W nie pogorszy właściwości mm-a jakie wymagane są dla końcowego wyrobu. Wnosimy o uzupełnienie treści SST, bądź potwierdzenie, że należy stosować materiały zgodne z aktualnymi wytycznymi WT-1 2014.</w:t>
      </w:r>
    </w:p>
    <w:p w14:paraId="0A3F123E" w14:textId="77A416F7" w:rsidR="00E76B7F" w:rsidRPr="000F5B39" w:rsidRDefault="00F76157" w:rsidP="000F5B39">
      <w:pPr>
        <w:pStyle w:val="Akapitzlist"/>
        <w:tabs>
          <w:tab w:val="left" w:pos="284"/>
        </w:tabs>
        <w:spacing w:after="120"/>
        <w:ind w:left="426"/>
        <w:contextualSpacing w:val="0"/>
        <w:jc w:val="both"/>
        <w:rPr>
          <w:rFonts w:ascii="Comic Sans MS" w:eastAsia="Times New Roman" w:hAnsi="Comic Sans MS"/>
        </w:rPr>
      </w:pPr>
      <w:r w:rsidRPr="002B612D">
        <w:rPr>
          <w:rFonts w:ascii="Comic Sans MS" w:eastAsia="Times New Roman" w:hAnsi="Comic Sans MS"/>
          <w:b/>
          <w:bCs/>
        </w:rPr>
        <w:t>Odpowiedź</w:t>
      </w:r>
      <w:r w:rsidRPr="002B612D">
        <w:rPr>
          <w:rFonts w:ascii="Comic Sans MS" w:eastAsia="Times New Roman" w:hAnsi="Comic Sans MS"/>
        </w:rPr>
        <w:t xml:space="preserve">: </w:t>
      </w:r>
      <w:r w:rsidR="00422DB5" w:rsidRPr="00F468CE">
        <w:rPr>
          <w:rFonts w:ascii="Comic Sans MS" w:eastAsia="Times New Roman" w:hAnsi="Comic Sans MS"/>
          <w:sz w:val="22"/>
          <w:szCs w:val="22"/>
        </w:rPr>
        <w:t>Zamawiający potwierdza, że należy zastosować materiały zg</w:t>
      </w:r>
      <w:r w:rsidR="000F5B39" w:rsidRPr="00F468CE">
        <w:rPr>
          <w:rFonts w:ascii="Comic Sans MS" w:eastAsia="Times New Roman" w:hAnsi="Comic Sans MS"/>
          <w:sz w:val="22"/>
          <w:szCs w:val="22"/>
        </w:rPr>
        <w:t>o</w:t>
      </w:r>
      <w:r w:rsidR="00422DB5" w:rsidRPr="00F468CE">
        <w:rPr>
          <w:rFonts w:ascii="Comic Sans MS" w:eastAsia="Times New Roman" w:hAnsi="Comic Sans MS"/>
          <w:sz w:val="22"/>
          <w:szCs w:val="22"/>
        </w:rPr>
        <w:t xml:space="preserve">dnie z aktualnymi wytycznymi WT </w:t>
      </w:r>
      <w:r w:rsidR="000F5B39" w:rsidRPr="00F468CE">
        <w:rPr>
          <w:rFonts w:ascii="Comic Sans MS" w:eastAsia="Times New Roman" w:hAnsi="Comic Sans MS"/>
          <w:sz w:val="22"/>
          <w:szCs w:val="22"/>
        </w:rPr>
        <w:t>–</w:t>
      </w:r>
      <w:r w:rsidR="00422DB5" w:rsidRPr="00F468CE">
        <w:rPr>
          <w:rFonts w:ascii="Comic Sans MS" w:eastAsia="Times New Roman" w:hAnsi="Comic Sans MS"/>
          <w:sz w:val="22"/>
          <w:szCs w:val="22"/>
        </w:rPr>
        <w:t xml:space="preserve"> 1</w:t>
      </w:r>
      <w:r w:rsidR="000F5B39" w:rsidRPr="00F468CE">
        <w:rPr>
          <w:rFonts w:ascii="Comic Sans MS" w:eastAsia="Times New Roman" w:hAnsi="Comic Sans MS"/>
          <w:sz w:val="22"/>
          <w:szCs w:val="22"/>
        </w:rPr>
        <w:t xml:space="preserve"> 2014.</w:t>
      </w:r>
    </w:p>
    <w:p w14:paraId="051B2168" w14:textId="3CB39447" w:rsidR="00320FEA" w:rsidRDefault="00320FEA" w:rsidP="001A388E">
      <w:pPr>
        <w:pStyle w:val="Akapitzlist"/>
        <w:numPr>
          <w:ilvl w:val="0"/>
          <w:numId w:val="12"/>
        </w:numPr>
        <w:ind w:left="426" w:hanging="426"/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320FEA">
        <w:rPr>
          <w:rFonts w:ascii="Calibri" w:eastAsia="Calibri" w:hAnsi="Calibri" w:cs="Calibri"/>
          <w:lang w:eastAsia="pl-PL"/>
        </w:rPr>
        <w:t>W terenie kanalizację deszczową zakończono na studni D9 , która jest w Km 2+532,83, a zakres przebudowy Zamawiający określił na Kilometraż od 2+544,00. Firma prosi o zwiększenie</w:t>
      </w:r>
      <w:r w:rsidRPr="00320FEA">
        <w:rPr>
          <w:rFonts w:ascii="Calibri" w:eastAsia="Calibri" w:hAnsi="Calibri" w:cs="Calibri"/>
          <w:sz w:val="22"/>
          <w:szCs w:val="22"/>
          <w:lang w:eastAsia="pl-PL"/>
        </w:rPr>
        <w:t xml:space="preserve"> robót nawierzchniowych o ten zakres.</w:t>
      </w:r>
    </w:p>
    <w:p w14:paraId="15AD35FD" w14:textId="15B00F74" w:rsidR="00320FEA" w:rsidRPr="00131689" w:rsidRDefault="00320FEA" w:rsidP="00131689">
      <w:pPr>
        <w:spacing w:before="120" w:after="120"/>
        <w:ind w:left="426"/>
        <w:jc w:val="both"/>
        <w:rPr>
          <w:rFonts w:ascii="Comic Sans MS" w:eastAsia="Calibri" w:hAnsi="Comic Sans MS" w:cs="Calibri"/>
          <w:sz w:val="22"/>
          <w:szCs w:val="22"/>
          <w:lang w:eastAsia="pl-PL"/>
        </w:rPr>
      </w:pPr>
      <w:r w:rsidRPr="002B612D">
        <w:rPr>
          <w:rFonts w:ascii="Comic Sans MS" w:eastAsia="Calibri" w:hAnsi="Comic Sans MS" w:cs="Calibri"/>
          <w:b/>
          <w:bCs/>
          <w:sz w:val="22"/>
          <w:szCs w:val="22"/>
          <w:lang w:eastAsia="pl-PL"/>
        </w:rPr>
        <w:t xml:space="preserve">Odpowiedź: </w:t>
      </w:r>
      <w:r w:rsidR="00131689" w:rsidRPr="00131689">
        <w:rPr>
          <w:rFonts w:ascii="Comic Sans MS" w:eastAsia="Calibri" w:hAnsi="Comic Sans MS" w:cs="Calibri"/>
          <w:sz w:val="22"/>
          <w:szCs w:val="22"/>
          <w:lang w:eastAsia="pl-PL"/>
        </w:rPr>
        <w:t xml:space="preserve">Zakres zamówienia obejmuje </w:t>
      </w:r>
      <w:r w:rsidR="00131689">
        <w:rPr>
          <w:rFonts w:ascii="Comic Sans MS" w:eastAsia="Calibri" w:hAnsi="Comic Sans MS" w:cs="Calibri"/>
          <w:sz w:val="22"/>
          <w:szCs w:val="22"/>
          <w:lang w:eastAsia="pl-PL"/>
        </w:rPr>
        <w:t xml:space="preserve">wykonanie kanalizacji deszczowej na </w:t>
      </w:r>
      <w:r w:rsidR="00131689" w:rsidRPr="00131689">
        <w:rPr>
          <w:rFonts w:ascii="Comic Sans MS" w:eastAsia="Calibri" w:hAnsi="Comic Sans MS" w:cs="Calibri"/>
          <w:sz w:val="22"/>
          <w:szCs w:val="22"/>
          <w:lang w:eastAsia="pl-PL"/>
        </w:rPr>
        <w:t>odcink</w:t>
      </w:r>
      <w:r w:rsidR="00131689">
        <w:rPr>
          <w:rFonts w:ascii="Comic Sans MS" w:eastAsia="Calibri" w:hAnsi="Comic Sans MS" w:cs="Calibri"/>
          <w:sz w:val="22"/>
          <w:szCs w:val="22"/>
          <w:lang w:eastAsia="pl-PL"/>
        </w:rPr>
        <w:t>u</w:t>
      </w:r>
      <w:r w:rsidR="00131689" w:rsidRPr="00131689">
        <w:rPr>
          <w:rFonts w:ascii="Comic Sans MS" w:eastAsia="Calibri" w:hAnsi="Comic Sans MS" w:cs="Calibri"/>
          <w:sz w:val="22"/>
          <w:szCs w:val="22"/>
          <w:lang w:eastAsia="pl-PL"/>
        </w:rPr>
        <w:t xml:space="preserve"> </w:t>
      </w:r>
      <w:r w:rsidR="00F468CE">
        <w:rPr>
          <w:rFonts w:ascii="Comic Sans MS" w:eastAsia="Calibri" w:hAnsi="Comic Sans MS" w:cs="Calibri"/>
          <w:sz w:val="22"/>
          <w:szCs w:val="22"/>
          <w:lang w:eastAsia="pl-PL"/>
        </w:rPr>
        <w:t>od istniejącej studni D9 w km 2+532,83 do km</w:t>
      </w:r>
      <w:r w:rsidR="00131689">
        <w:rPr>
          <w:rFonts w:ascii="Comic Sans MS" w:eastAsia="Calibri" w:hAnsi="Comic Sans MS" w:cs="Calibri"/>
          <w:sz w:val="22"/>
          <w:szCs w:val="22"/>
          <w:lang w:eastAsia="pl-PL"/>
        </w:rPr>
        <w:t xml:space="preserve"> 3+975</w:t>
      </w:r>
      <w:r w:rsidR="009C7CCB">
        <w:rPr>
          <w:rFonts w:ascii="Comic Sans MS" w:eastAsia="Calibri" w:hAnsi="Comic Sans MS" w:cs="Calibri"/>
          <w:sz w:val="22"/>
          <w:szCs w:val="22"/>
          <w:lang w:eastAsia="pl-PL"/>
        </w:rPr>
        <w:t>.</w:t>
      </w:r>
      <w:r w:rsidR="00131689">
        <w:rPr>
          <w:rFonts w:ascii="Comic Sans MS" w:eastAsia="Calibri" w:hAnsi="Comic Sans MS" w:cs="Calibri"/>
          <w:sz w:val="22"/>
          <w:szCs w:val="22"/>
          <w:lang w:eastAsia="pl-PL"/>
        </w:rPr>
        <w:t xml:space="preserve"> </w:t>
      </w:r>
      <w:r w:rsidR="00F468CE">
        <w:rPr>
          <w:rFonts w:ascii="Comic Sans MS" w:eastAsia="Calibri" w:hAnsi="Comic Sans MS" w:cs="Calibri"/>
          <w:sz w:val="22"/>
          <w:szCs w:val="22"/>
          <w:lang w:eastAsia="pl-PL"/>
        </w:rPr>
        <w:t>Odcinek od km 2+</w:t>
      </w:r>
      <w:r w:rsidR="009C7CCB">
        <w:rPr>
          <w:rFonts w:ascii="Comic Sans MS" w:eastAsia="Calibri" w:hAnsi="Comic Sans MS" w:cs="Calibri"/>
          <w:sz w:val="22"/>
          <w:szCs w:val="22"/>
          <w:lang w:eastAsia="pl-PL"/>
        </w:rPr>
        <w:t>543,83 do km 2+540 należy wykonać me</w:t>
      </w:r>
      <w:r w:rsidR="00131689">
        <w:rPr>
          <w:rFonts w:ascii="Comic Sans MS" w:eastAsia="Calibri" w:hAnsi="Comic Sans MS" w:cs="Calibri"/>
          <w:sz w:val="22"/>
          <w:szCs w:val="22"/>
          <w:lang w:eastAsia="pl-PL"/>
        </w:rPr>
        <w:t xml:space="preserve">todą </w:t>
      </w:r>
      <w:proofErr w:type="spellStart"/>
      <w:r w:rsidR="00131689">
        <w:rPr>
          <w:rFonts w:ascii="Comic Sans MS" w:eastAsia="Calibri" w:hAnsi="Comic Sans MS" w:cs="Calibri"/>
          <w:sz w:val="22"/>
          <w:szCs w:val="22"/>
          <w:lang w:eastAsia="pl-PL"/>
        </w:rPr>
        <w:t>bezwykopową</w:t>
      </w:r>
      <w:proofErr w:type="spellEnd"/>
      <w:r w:rsidR="00131689">
        <w:rPr>
          <w:rFonts w:ascii="Comic Sans MS" w:eastAsia="Calibri" w:hAnsi="Comic Sans MS" w:cs="Calibri"/>
          <w:sz w:val="22"/>
          <w:szCs w:val="22"/>
          <w:lang w:eastAsia="pl-PL"/>
        </w:rPr>
        <w:t>.</w:t>
      </w:r>
    </w:p>
    <w:p w14:paraId="3D13347E" w14:textId="2823D68C" w:rsidR="001A388E" w:rsidRPr="001A388E" w:rsidRDefault="001A388E" w:rsidP="001A388E">
      <w:pPr>
        <w:pStyle w:val="Akapitzlist"/>
        <w:numPr>
          <w:ilvl w:val="0"/>
          <w:numId w:val="12"/>
        </w:numPr>
        <w:ind w:left="426" w:hanging="426"/>
        <w:contextualSpacing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</w:rPr>
        <w:t>Czy Zamawiający dopuszcza możliwość wykonania kanalizacji deszczowej z innych materiałów niż GRP?</w:t>
      </w:r>
    </w:p>
    <w:p w14:paraId="01EA836B" w14:textId="5664A858" w:rsidR="001A388E" w:rsidRPr="00F468CE" w:rsidRDefault="001A388E" w:rsidP="001A388E">
      <w:pPr>
        <w:pStyle w:val="Akapitzlist"/>
        <w:spacing w:before="120" w:after="120"/>
        <w:ind w:left="852" w:hanging="426"/>
        <w:contextualSpacing w:val="0"/>
        <w:jc w:val="both"/>
        <w:rPr>
          <w:rFonts w:ascii="Comic Sans MS" w:eastAsia="Times New Roman" w:hAnsi="Comic Sans MS"/>
          <w:sz w:val="22"/>
          <w:szCs w:val="22"/>
        </w:rPr>
      </w:pPr>
      <w:r w:rsidRPr="002B612D">
        <w:rPr>
          <w:rFonts w:ascii="Comic Sans MS" w:eastAsia="Times New Roman" w:hAnsi="Comic Sans MS"/>
          <w:b/>
          <w:bCs/>
          <w:sz w:val="22"/>
          <w:szCs w:val="22"/>
        </w:rPr>
        <w:t xml:space="preserve">Odpowiedź: </w:t>
      </w:r>
      <w:r w:rsidR="00F468CE" w:rsidRPr="00F468CE">
        <w:rPr>
          <w:rFonts w:ascii="Comic Sans MS" w:eastAsia="Times New Roman" w:hAnsi="Comic Sans MS"/>
          <w:sz w:val="22"/>
          <w:szCs w:val="22"/>
        </w:rPr>
        <w:t>Zamawiający dopuszcza zastosowanie rur dwuściennych SN10.</w:t>
      </w:r>
    </w:p>
    <w:p w14:paraId="073BE0E1" w14:textId="0E01D318" w:rsidR="00161E80" w:rsidRPr="002B612D" w:rsidRDefault="00161E80" w:rsidP="002B612D">
      <w:pPr>
        <w:pStyle w:val="gwpd6b70effmsonormal"/>
        <w:numPr>
          <w:ilvl w:val="0"/>
          <w:numId w:val="1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2B612D">
        <w:rPr>
          <w:rFonts w:asciiTheme="minorHAnsi" w:hAnsiTheme="minorHAnsi" w:cstheme="minorHAnsi"/>
          <w:color w:val="000000"/>
        </w:rPr>
        <w:t>Istnieje rozbieżność w ilości oznakowania poziomego do wykonania pomiędzy przedmiarem a opisem technicznym projektu organizacji ruchu. Zwracamy się z prośbą o wyjaśnienie rozbieżności.</w:t>
      </w:r>
    </w:p>
    <w:p w14:paraId="5B8F5B6F" w14:textId="296FEBDF" w:rsidR="003D0DC2" w:rsidRPr="000F5B39" w:rsidRDefault="004548F2" w:rsidP="000F5B39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Comic Sans MS" w:hAnsi="Comic Sans MS" w:cstheme="minorHAnsi"/>
          <w:color w:val="000000"/>
        </w:rPr>
      </w:pPr>
      <w:r w:rsidRPr="002B612D">
        <w:rPr>
          <w:rFonts w:ascii="Comic Sans MS" w:hAnsi="Comic Sans MS" w:cstheme="minorHAnsi"/>
          <w:b/>
          <w:bCs/>
          <w:color w:val="000000"/>
        </w:rPr>
        <w:t>Odpowiedź</w:t>
      </w:r>
      <w:r w:rsidRPr="002B612D">
        <w:rPr>
          <w:rFonts w:ascii="Comic Sans MS" w:hAnsi="Comic Sans MS" w:cstheme="minorHAnsi"/>
          <w:color w:val="000000"/>
        </w:rPr>
        <w:t xml:space="preserve">: </w:t>
      </w:r>
      <w:r w:rsidR="00131689">
        <w:rPr>
          <w:rFonts w:ascii="Comic Sans MS" w:hAnsi="Comic Sans MS" w:cstheme="minorHAnsi"/>
          <w:color w:val="000000"/>
        </w:rPr>
        <w:t>Należy przyjąć wielkości wynikające z przedmiaru.</w:t>
      </w:r>
    </w:p>
    <w:p w14:paraId="7BC1AB7B" w14:textId="77777777" w:rsidR="000E33FA" w:rsidRDefault="000E33FA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4CCD2236" w14:textId="45EFAA5B" w:rsidR="00661EB1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03A0F366" w14:textId="61AA9C4E" w:rsidR="007512CD" w:rsidRPr="00131BE2" w:rsidRDefault="00364921" w:rsidP="00131BE2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sectPr w:rsidR="007512CD" w:rsidRPr="00131BE2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666E"/>
    <w:multiLevelType w:val="hybridMultilevel"/>
    <w:tmpl w:val="B3AEC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55F6D"/>
    <w:multiLevelType w:val="hybridMultilevel"/>
    <w:tmpl w:val="66CE7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7" w15:restartNumberingAfterBreak="0">
    <w:nsid w:val="4FC325ED"/>
    <w:multiLevelType w:val="hybridMultilevel"/>
    <w:tmpl w:val="1046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1345E"/>
    <w:multiLevelType w:val="hybridMultilevel"/>
    <w:tmpl w:val="446C4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09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863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709777">
    <w:abstractNumId w:val="2"/>
  </w:num>
  <w:num w:numId="4" w16cid:durableId="2073695714">
    <w:abstractNumId w:val="5"/>
  </w:num>
  <w:num w:numId="5" w16cid:durableId="1329744641">
    <w:abstractNumId w:val="9"/>
  </w:num>
  <w:num w:numId="6" w16cid:durableId="1745755774">
    <w:abstractNumId w:val="12"/>
  </w:num>
  <w:num w:numId="7" w16cid:durableId="1467432683">
    <w:abstractNumId w:val="6"/>
  </w:num>
  <w:num w:numId="8" w16cid:durableId="514996377">
    <w:abstractNumId w:val="11"/>
  </w:num>
  <w:num w:numId="9" w16cid:durableId="2121025644">
    <w:abstractNumId w:val="1"/>
  </w:num>
  <w:num w:numId="10" w16cid:durableId="441464177">
    <w:abstractNumId w:val="3"/>
  </w:num>
  <w:num w:numId="11" w16cid:durableId="1530410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6663159">
    <w:abstractNumId w:val="4"/>
  </w:num>
  <w:num w:numId="13" w16cid:durableId="452948497">
    <w:abstractNumId w:val="4"/>
  </w:num>
  <w:num w:numId="14" w16cid:durableId="1673953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9765557">
    <w:abstractNumId w:val="0"/>
  </w:num>
  <w:num w:numId="16" w16cid:durableId="1331642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6223E"/>
    <w:rsid w:val="00063C1F"/>
    <w:rsid w:val="00074007"/>
    <w:rsid w:val="000B3831"/>
    <w:rsid w:val="000E33FA"/>
    <w:rsid w:val="000F5B39"/>
    <w:rsid w:val="00113D19"/>
    <w:rsid w:val="00122F34"/>
    <w:rsid w:val="00131689"/>
    <w:rsid w:val="00131BE2"/>
    <w:rsid w:val="00144AE4"/>
    <w:rsid w:val="00161E80"/>
    <w:rsid w:val="00173B06"/>
    <w:rsid w:val="001A388E"/>
    <w:rsid w:val="001C4356"/>
    <w:rsid w:val="001D174D"/>
    <w:rsid w:val="001D24C4"/>
    <w:rsid w:val="001E3E53"/>
    <w:rsid w:val="0021515A"/>
    <w:rsid w:val="0023197B"/>
    <w:rsid w:val="0023282C"/>
    <w:rsid w:val="002749F5"/>
    <w:rsid w:val="00283AE3"/>
    <w:rsid w:val="00292505"/>
    <w:rsid w:val="002B612D"/>
    <w:rsid w:val="002D5B20"/>
    <w:rsid w:val="003164FA"/>
    <w:rsid w:val="00316581"/>
    <w:rsid w:val="003206CE"/>
    <w:rsid w:val="00320FEA"/>
    <w:rsid w:val="00364921"/>
    <w:rsid w:val="003D0DC2"/>
    <w:rsid w:val="003E76DF"/>
    <w:rsid w:val="00422DB5"/>
    <w:rsid w:val="00433BE5"/>
    <w:rsid w:val="00450B2C"/>
    <w:rsid w:val="004548F2"/>
    <w:rsid w:val="00484225"/>
    <w:rsid w:val="004A33AB"/>
    <w:rsid w:val="004D4ABB"/>
    <w:rsid w:val="004D70C4"/>
    <w:rsid w:val="0050384B"/>
    <w:rsid w:val="005D6268"/>
    <w:rsid w:val="00610E99"/>
    <w:rsid w:val="00644054"/>
    <w:rsid w:val="006466EB"/>
    <w:rsid w:val="00661EB1"/>
    <w:rsid w:val="006864F8"/>
    <w:rsid w:val="006A0E0E"/>
    <w:rsid w:val="007049B9"/>
    <w:rsid w:val="007461C3"/>
    <w:rsid w:val="007512CD"/>
    <w:rsid w:val="007564EB"/>
    <w:rsid w:val="00781711"/>
    <w:rsid w:val="007842C3"/>
    <w:rsid w:val="007D23CE"/>
    <w:rsid w:val="00820D96"/>
    <w:rsid w:val="00823F9F"/>
    <w:rsid w:val="00870491"/>
    <w:rsid w:val="00874125"/>
    <w:rsid w:val="008B6DC7"/>
    <w:rsid w:val="008F7A66"/>
    <w:rsid w:val="00903DA6"/>
    <w:rsid w:val="009219F0"/>
    <w:rsid w:val="009474E5"/>
    <w:rsid w:val="009A2C2C"/>
    <w:rsid w:val="009C7CCB"/>
    <w:rsid w:val="009F2283"/>
    <w:rsid w:val="00A000E2"/>
    <w:rsid w:val="00A3090E"/>
    <w:rsid w:val="00A3689F"/>
    <w:rsid w:val="00A422D1"/>
    <w:rsid w:val="00A55AA5"/>
    <w:rsid w:val="00A601B6"/>
    <w:rsid w:val="00A61F00"/>
    <w:rsid w:val="00AC0256"/>
    <w:rsid w:val="00AF7A86"/>
    <w:rsid w:val="00B55A95"/>
    <w:rsid w:val="00B57E23"/>
    <w:rsid w:val="00BC633E"/>
    <w:rsid w:val="00BE5699"/>
    <w:rsid w:val="00C737B7"/>
    <w:rsid w:val="00CA6066"/>
    <w:rsid w:val="00CC720D"/>
    <w:rsid w:val="00D57584"/>
    <w:rsid w:val="00D834D9"/>
    <w:rsid w:val="00D8567C"/>
    <w:rsid w:val="00DB526B"/>
    <w:rsid w:val="00DC1BD9"/>
    <w:rsid w:val="00E647AB"/>
    <w:rsid w:val="00E76B7F"/>
    <w:rsid w:val="00EC41AC"/>
    <w:rsid w:val="00ED07D1"/>
    <w:rsid w:val="00ED7C26"/>
    <w:rsid w:val="00F468CE"/>
    <w:rsid w:val="00F76157"/>
    <w:rsid w:val="00F9631E"/>
    <w:rsid w:val="00FA3411"/>
    <w:rsid w:val="00FA4A69"/>
    <w:rsid w:val="00FA654F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4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4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4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4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4C4"/>
    <w:rPr>
      <w:b/>
      <w:bCs/>
      <w:sz w:val="20"/>
      <w:szCs w:val="20"/>
    </w:rPr>
  </w:style>
  <w:style w:type="paragraph" w:customStyle="1" w:styleId="Style14">
    <w:name w:val="Style14"/>
    <w:basedOn w:val="Normalny"/>
    <w:uiPriority w:val="99"/>
    <w:rsid w:val="00903DA6"/>
    <w:pPr>
      <w:widowControl w:val="0"/>
      <w:autoSpaceDE w:val="0"/>
      <w:autoSpaceDN w:val="0"/>
      <w:adjustRightInd w:val="0"/>
      <w:spacing w:line="398" w:lineRule="exact"/>
    </w:pPr>
    <w:rPr>
      <w:rFonts w:ascii="Trebuchet MS" w:eastAsiaTheme="minorEastAsia" w:hAnsi="Trebuchet MS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36</cp:revision>
  <cp:lastPrinted>2022-04-08T12:16:00Z</cp:lastPrinted>
  <dcterms:created xsi:type="dcterms:W3CDTF">2020-12-28T15:56:00Z</dcterms:created>
  <dcterms:modified xsi:type="dcterms:W3CDTF">2022-04-08T12:17:00Z</dcterms:modified>
</cp:coreProperties>
</file>