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696DA" w14:textId="43EA91A4" w:rsidR="00F952DD" w:rsidRPr="00AD077E" w:rsidRDefault="00F952DD" w:rsidP="00F952DD">
      <w:pPr>
        <w:spacing w:before="100" w:beforeAutospacing="1" w:after="100" w:afterAutospacing="1" w:line="360" w:lineRule="auto"/>
        <w:jc w:val="right"/>
      </w:pPr>
      <w:r>
        <w:t>Grudziądz</w:t>
      </w:r>
      <w:r w:rsidRPr="00AD077E">
        <w:t>,</w:t>
      </w:r>
      <w:r>
        <w:t xml:space="preserve"> </w:t>
      </w:r>
      <w:r w:rsidRPr="00AD077E">
        <w:t>dnia</w:t>
      </w:r>
      <w:r>
        <w:t xml:space="preserve"> </w:t>
      </w:r>
      <w:r w:rsidR="00936132">
        <w:t>3</w:t>
      </w:r>
      <w:r>
        <w:t>.0</w:t>
      </w:r>
      <w:r w:rsidR="00936132">
        <w:t>2</w:t>
      </w:r>
      <w:r>
        <w:t>.2021 r.</w:t>
      </w:r>
    </w:p>
    <w:p w14:paraId="02F5F3FA" w14:textId="77777777" w:rsidR="00F952DD" w:rsidRPr="00AD077E" w:rsidRDefault="00F952DD" w:rsidP="00F952DD">
      <w:pPr>
        <w:spacing w:before="100" w:beforeAutospacing="1" w:after="100" w:afterAutospacing="1" w:line="360" w:lineRule="auto"/>
        <w:jc w:val="both"/>
      </w:pPr>
      <w:r w:rsidRPr="00AD077E">
        <w:t>Zamawiający</w:t>
      </w:r>
      <w:r>
        <w:t>:</w:t>
      </w:r>
    </w:p>
    <w:p w14:paraId="309D7BF0" w14:textId="77777777" w:rsidR="00F952DD" w:rsidRPr="00AD077E" w:rsidRDefault="00F952DD" w:rsidP="00F952DD">
      <w:pPr>
        <w:spacing w:line="276" w:lineRule="auto"/>
        <w:jc w:val="both"/>
      </w:pPr>
      <w:r>
        <w:t>Powiatowy Zarząd Dróg</w:t>
      </w:r>
    </w:p>
    <w:p w14:paraId="24A86FEC" w14:textId="77777777" w:rsidR="00F952DD" w:rsidRDefault="00F952DD" w:rsidP="00F952DD">
      <w:pPr>
        <w:spacing w:line="276" w:lineRule="auto"/>
        <w:jc w:val="both"/>
      </w:pPr>
      <w:r>
        <w:t>86-300 Grudziądz</w:t>
      </w:r>
    </w:p>
    <w:p w14:paraId="6CDA7105" w14:textId="77777777" w:rsidR="00F952DD" w:rsidRPr="00AD077E" w:rsidRDefault="00F952DD" w:rsidP="00F952DD">
      <w:pPr>
        <w:spacing w:line="276" w:lineRule="auto"/>
        <w:jc w:val="both"/>
      </w:pPr>
      <w:r>
        <w:t>ul. Paderewskiego 233</w:t>
      </w:r>
    </w:p>
    <w:p w14:paraId="132EC72D" w14:textId="77777777" w:rsidR="00F952DD" w:rsidRDefault="00F952DD" w:rsidP="00F952DD">
      <w:pPr>
        <w:spacing w:line="360" w:lineRule="auto"/>
        <w:jc w:val="both"/>
        <w:rPr>
          <w:sz w:val="20"/>
        </w:rPr>
      </w:pPr>
      <w:r w:rsidRPr="00A13D6F">
        <w:rPr>
          <w:sz w:val="20"/>
        </w:rPr>
        <w:t>(</w:t>
      </w:r>
      <w:r w:rsidRPr="00A13D6F">
        <w:rPr>
          <w:i/>
          <w:sz w:val="20"/>
        </w:rPr>
        <w:t>nazwa</w:t>
      </w:r>
      <w:r>
        <w:rPr>
          <w:i/>
          <w:sz w:val="20"/>
        </w:rPr>
        <w:t xml:space="preserve"> </w:t>
      </w:r>
      <w:r w:rsidRPr="00A13D6F">
        <w:rPr>
          <w:i/>
          <w:sz w:val="20"/>
        </w:rPr>
        <w:t>i</w:t>
      </w:r>
      <w:r>
        <w:rPr>
          <w:i/>
          <w:sz w:val="20"/>
        </w:rPr>
        <w:t xml:space="preserve"> </w:t>
      </w:r>
      <w:r w:rsidRPr="00A13D6F">
        <w:rPr>
          <w:i/>
          <w:sz w:val="20"/>
        </w:rPr>
        <w:t>adres</w:t>
      </w:r>
      <w:r>
        <w:rPr>
          <w:i/>
          <w:sz w:val="20"/>
        </w:rPr>
        <w:t xml:space="preserve"> </w:t>
      </w:r>
      <w:r w:rsidRPr="00A13D6F">
        <w:rPr>
          <w:i/>
          <w:sz w:val="20"/>
        </w:rPr>
        <w:t>Zamawiającego</w:t>
      </w:r>
      <w:r w:rsidRPr="00A13D6F">
        <w:rPr>
          <w:sz w:val="20"/>
        </w:rPr>
        <w:t>)</w:t>
      </w:r>
      <w:r>
        <w:rPr>
          <w:sz w:val="20"/>
        </w:rPr>
        <w:t xml:space="preserve"> </w:t>
      </w:r>
    </w:p>
    <w:p w14:paraId="049BD4A8" w14:textId="77777777" w:rsidR="00F952DD" w:rsidRDefault="00F952DD" w:rsidP="00F952DD">
      <w:pPr>
        <w:spacing w:line="360" w:lineRule="auto"/>
        <w:jc w:val="both"/>
        <w:rPr>
          <w:sz w:val="20"/>
        </w:rPr>
      </w:pPr>
    </w:p>
    <w:p w14:paraId="6939D332" w14:textId="279FCEE3" w:rsidR="00F952DD" w:rsidRPr="00AD077E" w:rsidRDefault="00F952DD" w:rsidP="00F952DD">
      <w:pPr>
        <w:spacing w:line="360" w:lineRule="auto"/>
        <w:jc w:val="both"/>
      </w:pPr>
      <w:r>
        <w:t>ZP.271.3.</w:t>
      </w:r>
      <w:r>
        <w:t>2</w:t>
      </w:r>
      <w:r>
        <w:t>.2021</w:t>
      </w:r>
    </w:p>
    <w:p w14:paraId="6A681EC5" w14:textId="77777777" w:rsidR="00F952DD" w:rsidRPr="00AD077E" w:rsidRDefault="00F952DD" w:rsidP="00F952DD">
      <w:pPr>
        <w:spacing w:line="360" w:lineRule="auto"/>
        <w:jc w:val="both"/>
      </w:pPr>
      <w:r w:rsidRPr="00A13D6F">
        <w:rPr>
          <w:sz w:val="20"/>
        </w:rPr>
        <w:t>(</w:t>
      </w:r>
      <w:r w:rsidRPr="00A13D6F">
        <w:rPr>
          <w:i/>
          <w:sz w:val="20"/>
        </w:rPr>
        <w:t>nr</w:t>
      </w:r>
      <w:r>
        <w:rPr>
          <w:i/>
          <w:sz w:val="20"/>
        </w:rPr>
        <w:t xml:space="preserve"> </w:t>
      </w:r>
      <w:r w:rsidRPr="00A13D6F">
        <w:rPr>
          <w:i/>
          <w:sz w:val="20"/>
        </w:rPr>
        <w:t>ref.</w:t>
      </w:r>
      <w:r>
        <w:rPr>
          <w:i/>
          <w:sz w:val="20"/>
        </w:rPr>
        <w:t xml:space="preserve"> p</w:t>
      </w:r>
      <w:r w:rsidRPr="00A13D6F">
        <w:rPr>
          <w:i/>
          <w:sz w:val="20"/>
        </w:rPr>
        <w:t>ostępowania</w:t>
      </w:r>
      <w:r w:rsidRPr="00A13D6F">
        <w:rPr>
          <w:sz w:val="20"/>
        </w:rPr>
        <w:t>)</w:t>
      </w:r>
    </w:p>
    <w:p w14:paraId="37716434" w14:textId="79677AF4" w:rsidR="00F952DD" w:rsidRPr="00A601B6" w:rsidRDefault="00F952DD" w:rsidP="00F952DD">
      <w:pPr>
        <w:spacing w:before="100" w:beforeAutospacing="1" w:after="100" w:afterAutospacing="1" w:line="360" w:lineRule="auto"/>
        <w:jc w:val="both"/>
        <w:rPr>
          <w:i/>
        </w:rPr>
      </w:pPr>
      <w:r w:rsidRPr="00AD077E">
        <w:t>Dotyczy</w:t>
      </w:r>
      <w:r>
        <w:t xml:space="preserve"> </w:t>
      </w:r>
      <w:r w:rsidRPr="00AD077E">
        <w:t>postępowania</w:t>
      </w:r>
      <w:r>
        <w:t xml:space="preserve"> </w:t>
      </w:r>
      <w:r w:rsidRPr="00AD077E">
        <w:t>o</w:t>
      </w:r>
      <w:r>
        <w:t xml:space="preserve"> </w:t>
      </w:r>
      <w:r w:rsidRPr="00AD077E">
        <w:t>udzielenie</w:t>
      </w:r>
      <w:r>
        <w:t xml:space="preserve"> </w:t>
      </w:r>
      <w:r w:rsidRPr="00AD077E">
        <w:t>zamówienia</w:t>
      </w:r>
      <w:r>
        <w:t xml:space="preserve"> </w:t>
      </w:r>
      <w:r w:rsidRPr="00AD077E">
        <w:t>publicznego</w:t>
      </w:r>
      <w:r>
        <w:t xml:space="preserve"> </w:t>
      </w:r>
      <w:r w:rsidRPr="00AD077E">
        <w:t>prowadzonego</w:t>
      </w:r>
      <w:r>
        <w:t xml:space="preserve"> w trybie podstawowym bez negocjacji n</w:t>
      </w:r>
      <w:r w:rsidRPr="00AD077E">
        <w:t>a:</w:t>
      </w:r>
      <w:r>
        <w:t xml:space="preserve"> </w:t>
      </w:r>
      <w:r>
        <w:t>Remont</w:t>
      </w:r>
      <w:r>
        <w:t xml:space="preserve"> drogi powiatowej nr 13</w:t>
      </w:r>
      <w:r>
        <w:t>68</w:t>
      </w:r>
      <w:r>
        <w:t xml:space="preserve">C </w:t>
      </w:r>
      <w:r>
        <w:t>Szembruczek-Nowe Mosty</w:t>
      </w:r>
      <w:r>
        <w:t>.</w:t>
      </w:r>
    </w:p>
    <w:p w14:paraId="141DE34E" w14:textId="77777777" w:rsidR="00F952DD" w:rsidRPr="003A6665" w:rsidRDefault="00F952DD" w:rsidP="00F952DD">
      <w:pPr>
        <w:spacing w:after="120" w:line="360" w:lineRule="auto"/>
        <w:jc w:val="center"/>
        <w:rPr>
          <w:b/>
          <w:color w:val="000000"/>
        </w:rPr>
      </w:pPr>
      <w:r w:rsidRPr="003A6665">
        <w:rPr>
          <w:b/>
          <w:color w:val="000000"/>
        </w:rPr>
        <w:t>WYJAŚNIENIA</w:t>
      </w:r>
      <w:r>
        <w:rPr>
          <w:b/>
          <w:color w:val="000000"/>
        </w:rPr>
        <w:t xml:space="preserve"> </w:t>
      </w:r>
      <w:r w:rsidRPr="003A6665">
        <w:rPr>
          <w:b/>
          <w:color w:val="000000"/>
        </w:rPr>
        <w:t>TREŚCI</w:t>
      </w:r>
      <w:r>
        <w:rPr>
          <w:b/>
          <w:color w:val="000000"/>
        </w:rPr>
        <w:t xml:space="preserve"> </w:t>
      </w:r>
      <w:r w:rsidRPr="003A6665">
        <w:rPr>
          <w:b/>
          <w:color w:val="000000"/>
        </w:rPr>
        <w:t>SWZ</w:t>
      </w:r>
    </w:p>
    <w:p w14:paraId="59A5D497" w14:textId="77777777" w:rsidR="00F952DD" w:rsidRPr="00AD077E" w:rsidRDefault="00F952DD" w:rsidP="00F952DD">
      <w:pPr>
        <w:spacing w:after="120" w:line="360" w:lineRule="auto"/>
        <w:jc w:val="both"/>
      </w:pPr>
      <w:r w:rsidRPr="00AD077E">
        <w:t>Działając</w:t>
      </w:r>
      <w:r>
        <w:t xml:space="preserve"> </w:t>
      </w:r>
      <w:r w:rsidRPr="00AD077E">
        <w:t>na</w:t>
      </w:r>
      <w:r>
        <w:t xml:space="preserve"> </w:t>
      </w:r>
      <w:r w:rsidRPr="00AD077E">
        <w:t>podstawie</w:t>
      </w:r>
      <w:r>
        <w:rPr>
          <w:b/>
          <w:bCs/>
          <w:i/>
          <w:iCs/>
        </w:rPr>
        <w:t xml:space="preserve"> </w:t>
      </w:r>
      <w:r>
        <w:t>art. 284 ust. 2</w:t>
      </w:r>
      <w:r>
        <w:rPr>
          <w:b/>
          <w:bCs/>
          <w:i/>
          <w:iCs/>
        </w:rPr>
        <w:t xml:space="preserve"> </w:t>
      </w:r>
      <w:r w:rsidRPr="00AD077E">
        <w:rPr>
          <w:bCs/>
        </w:rPr>
        <w:t>ustawy</w:t>
      </w:r>
      <w:r>
        <w:rPr>
          <w:bCs/>
        </w:rPr>
        <w:t xml:space="preserve"> </w:t>
      </w:r>
      <w:r w:rsidRPr="00AD077E">
        <w:rPr>
          <w:bCs/>
        </w:rPr>
        <w:t>z</w:t>
      </w:r>
      <w:r>
        <w:rPr>
          <w:bCs/>
        </w:rPr>
        <w:t xml:space="preserve"> </w:t>
      </w:r>
      <w:r w:rsidRPr="00AD077E">
        <w:rPr>
          <w:bCs/>
        </w:rPr>
        <w:t>dnia</w:t>
      </w:r>
      <w:r>
        <w:rPr>
          <w:bCs/>
        </w:rPr>
        <w:t xml:space="preserve"> </w:t>
      </w:r>
      <w:r w:rsidRPr="00AD077E">
        <w:rPr>
          <w:bCs/>
        </w:rPr>
        <w:t>11</w:t>
      </w:r>
      <w:r>
        <w:rPr>
          <w:bCs/>
        </w:rPr>
        <w:t xml:space="preserve"> </w:t>
      </w:r>
      <w:r w:rsidRPr="00AD077E">
        <w:rPr>
          <w:bCs/>
        </w:rPr>
        <w:t>września</w:t>
      </w:r>
      <w:r>
        <w:rPr>
          <w:bCs/>
        </w:rPr>
        <w:t xml:space="preserve"> </w:t>
      </w:r>
      <w:r w:rsidRPr="00AD077E">
        <w:rPr>
          <w:bCs/>
        </w:rPr>
        <w:t>2019</w:t>
      </w:r>
      <w:r>
        <w:rPr>
          <w:bCs/>
        </w:rPr>
        <w:t xml:space="preserve"> </w:t>
      </w:r>
      <w:r w:rsidRPr="00AD077E">
        <w:rPr>
          <w:bCs/>
        </w:rPr>
        <w:t>r.</w:t>
      </w:r>
      <w:r>
        <w:rPr>
          <w:bCs/>
        </w:rPr>
        <w:t xml:space="preserve"> – </w:t>
      </w:r>
      <w:r w:rsidRPr="00AD077E">
        <w:rPr>
          <w:bCs/>
        </w:rPr>
        <w:t>Prawo</w:t>
      </w:r>
      <w:r>
        <w:rPr>
          <w:bCs/>
        </w:rPr>
        <w:t xml:space="preserve"> </w:t>
      </w:r>
      <w:r w:rsidRPr="00AD077E">
        <w:rPr>
          <w:bCs/>
        </w:rPr>
        <w:t>zamówień</w:t>
      </w:r>
      <w:r>
        <w:rPr>
          <w:bCs/>
        </w:rPr>
        <w:t xml:space="preserve"> </w:t>
      </w:r>
      <w:r w:rsidRPr="00AD077E">
        <w:rPr>
          <w:bCs/>
        </w:rPr>
        <w:t>publicznych</w:t>
      </w:r>
      <w:r>
        <w:rPr>
          <w:bCs/>
        </w:rPr>
        <w:t xml:space="preserve"> </w:t>
      </w:r>
      <w:r w:rsidRPr="00AD077E">
        <w:rPr>
          <w:bCs/>
        </w:rPr>
        <w:t>(D</w:t>
      </w:r>
      <w:r>
        <w:rPr>
          <w:bCs/>
        </w:rPr>
        <w:t xml:space="preserve">z.U. z 2019 r. poz. 2019 ze zm.; </w:t>
      </w:r>
      <w:r w:rsidRPr="00AD077E">
        <w:rPr>
          <w:bCs/>
        </w:rPr>
        <w:t>zwana</w:t>
      </w:r>
      <w:r>
        <w:rPr>
          <w:bCs/>
        </w:rPr>
        <w:t xml:space="preserve"> </w:t>
      </w:r>
      <w:r w:rsidRPr="00AD077E">
        <w:rPr>
          <w:bCs/>
        </w:rPr>
        <w:t>dalej:</w:t>
      </w:r>
      <w:r>
        <w:rPr>
          <w:bCs/>
        </w:rPr>
        <w:t xml:space="preserve"> </w:t>
      </w:r>
      <w:r w:rsidRPr="00AD077E">
        <w:rPr>
          <w:bCs/>
        </w:rPr>
        <w:t>PZP),</w:t>
      </w:r>
      <w:r>
        <w:t xml:space="preserve"> </w:t>
      </w:r>
      <w:r w:rsidRPr="00AD077E">
        <w:rPr>
          <w:color w:val="000000"/>
        </w:rPr>
        <w:t>Zamawiający</w:t>
      </w:r>
      <w:r>
        <w:rPr>
          <w:color w:val="000000"/>
        </w:rPr>
        <w:t xml:space="preserve"> </w:t>
      </w:r>
      <w:r w:rsidRPr="00AD077E">
        <w:rPr>
          <w:color w:val="000000"/>
        </w:rPr>
        <w:t>przekazuje</w:t>
      </w:r>
      <w:r>
        <w:rPr>
          <w:color w:val="000000"/>
        </w:rPr>
        <w:t xml:space="preserve"> </w:t>
      </w:r>
      <w:r w:rsidRPr="00AD077E">
        <w:rPr>
          <w:color w:val="000000"/>
        </w:rPr>
        <w:t>poniżej</w:t>
      </w:r>
      <w:r>
        <w:rPr>
          <w:color w:val="000000"/>
        </w:rPr>
        <w:t xml:space="preserve"> </w:t>
      </w:r>
      <w:r w:rsidRPr="00AD077E">
        <w:rPr>
          <w:color w:val="000000"/>
        </w:rPr>
        <w:t>treść</w:t>
      </w:r>
      <w:r>
        <w:rPr>
          <w:color w:val="000000"/>
        </w:rPr>
        <w:t xml:space="preserve"> </w:t>
      </w:r>
      <w:r w:rsidRPr="00AD077E">
        <w:rPr>
          <w:color w:val="000000"/>
        </w:rPr>
        <w:t>zapytań,</w:t>
      </w:r>
      <w:r>
        <w:rPr>
          <w:color w:val="000000"/>
        </w:rPr>
        <w:t xml:space="preserve"> </w:t>
      </w:r>
      <w:r w:rsidRPr="00AD077E">
        <w:rPr>
          <w:color w:val="000000"/>
        </w:rPr>
        <w:t>które</w:t>
      </w:r>
      <w:r>
        <w:rPr>
          <w:color w:val="000000"/>
        </w:rPr>
        <w:t xml:space="preserve"> </w:t>
      </w:r>
      <w:r w:rsidRPr="00AD077E">
        <w:rPr>
          <w:color w:val="000000"/>
        </w:rPr>
        <w:t>wpłynęły</w:t>
      </w:r>
      <w:r>
        <w:rPr>
          <w:color w:val="000000"/>
        </w:rPr>
        <w:t xml:space="preserve"> </w:t>
      </w:r>
      <w:r w:rsidRPr="00AD077E">
        <w:rPr>
          <w:color w:val="000000"/>
        </w:rPr>
        <w:t>do</w:t>
      </w:r>
      <w:r>
        <w:rPr>
          <w:color w:val="000000"/>
        </w:rPr>
        <w:t xml:space="preserve"> </w:t>
      </w:r>
      <w:r w:rsidRPr="00AD077E">
        <w:rPr>
          <w:color w:val="000000"/>
        </w:rPr>
        <w:t>Zamawiającego</w:t>
      </w:r>
      <w:r>
        <w:rPr>
          <w:color w:val="000000"/>
        </w:rPr>
        <w:t xml:space="preserve"> </w:t>
      </w:r>
      <w:r w:rsidRPr="00AD077E">
        <w:rPr>
          <w:color w:val="000000"/>
        </w:rPr>
        <w:t>wraz</w:t>
      </w:r>
      <w:r>
        <w:rPr>
          <w:color w:val="000000"/>
        </w:rPr>
        <w:t xml:space="preserve"> </w:t>
      </w:r>
      <w:r w:rsidRPr="00AD077E">
        <w:rPr>
          <w:color w:val="000000"/>
        </w:rPr>
        <w:t>z</w:t>
      </w:r>
      <w:r>
        <w:rPr>
          <w:color w:val="000000"/>
        </w:rPr>
        <w:t xml:space="preserve"> </w:t>
      </w:r>
      <w:r w:rsidRPr="00AD077E">
        <w:rPr>
          <w:color w:val="000000"/>
        </w:rPr>
        <w:t>wyjaśnieniami:</w:t>
      </w:r>
    </w:p>
    <w:p w14:paraId="2B533EE7" w14:textId="5F87D5C0" w:rsidR="00F63B28" w:rsidRDefault="00F63B28" w:rsidP="00383D9F">
      <w:pPr>
        <w:widowControl w:val="0"/>
        <w:autoSpaceDE w:val="0"/>
        <w:autoSpaceDN w:val="0"/>
        <w:adjustRightInd w:val="0"/>
        <w:rPr>
          <w:rFonts w:cs="Calibri"/>
          <w:b/>
        </w:rPr>
      </w:pPr>
    </w:p>
    <w:p w14:paraId="7D28968C" w14:textId="77A79C67" w:rsidR="00383D9F" w:rsidRPr="00160E65" w:rsidRDefault="00383D9F" w:rsidP="003822B3">
      <w:pPr>
        <w:numPr>
          <w:ilvl w:val="0"/>
          <w:numId w:val="4"/>
        </w:numPr>
        <w:spacing w:after="120"/>
        <w:ind w:left="426" w:hanging="426"/>
        <w:jc w:val="both"/>
        <w:rPr>
          <w:sz w:val="22"/>
          <w:szCs w:val="22"/>
        </w:rPr>
      </w:pPr>
      <w:r>
        <w:t>Czyją własnością jest grunt z wykopu? Jeżeli Zamawiającego prosimy o wskazanie miejsca wywozu.</w:t>
      </w:r>
    </w:p>
    <w:p w14:paraId="7428019E" w14:textId="59A9F75C" w:rsidR="00160E65" w:rsidRDefault="00160E65" w:rsidP="00160E65">
      <w:pPr>
        <w:spacing w:after="120"/>
        <w:ind w:left="426"/>
        <w:jc w:val="both"/>
        <w:rPr>
          <w:sz w:val="22"/>
          <w:szCs w:val="22"/>
        </w:rPr>
      </w:pPr>
      <w:r w:rsidRPr="007B0047">
        <w:rPr>
          <w:b/>
          <w:bCs/>
        </w:rPr>
        <w:t>Odpowiedź:</w:t>
      </w:r>
      <w:r>
        <w:t xml:space="preserve"> Grunt jest własnością Wykonawcy.</w:t>
      </w:r>
    </w:p>
    <w:p w14:paraId="19246D9A" w14:textId="4F101F46" w:rsidR="00383D9F" w:rsidRDefault="00383D9F" w:rsidP="003822B3">
      <w:pPr>
        <w:numPr>
          <w:ilvl w:val="0"/>
          <w:numId w:val="4"/>
        </w:numPr>
        <w:spacing w:after="120"/>
        <w:ind w:left="426" w:hanging="426"/>
        <w:jc w:val="both"/>
      </w:pPr>
      <w:r>
        <w:t>Czyją własnością jest materiał z rozbiórki ( kruszywo kamienne)? Jeżeli Zamawiającego prosimy o wskazanie miejsca wywozu.</w:t>
      </w:r>
    </w:p>
    <w:p w14:paraId="388C9972" w14:textId="54A9CB6E" w:rsidR="00160E65" w:rsidRDefault="00160E65" w:rsidP="00160E65">
      <w:pPr>
        <w:spacing w:after="120"/>
        <w:ind w:left="426"/>
        <w:jc w:val="both"/>
      </w:pPr>
      <w:r w:rsidRPr="00181CC3">
        <w:rPr>
          <w:b/>
          <w:bCs/>
        </w:rPr>
        <w:t>Odpowiedź</w:t>
      </w:r>
      <w:r>
        <w:t xml:space="preserve">: </w:t>
      </w:r>
      <w:r w:rsidR="004D2F03">
        <w:t>Materiał z rozbiórki stanowi własność Wykonawcy.</w:t>
      </w:r>
    </w:p>
    <w:p w14:paraId="258D606C" w14:textId="144E0582" w:rsidR="00383D9F" w:rsidRDefault="00383D9F" w:rsidP="003822B3">
      <w:pPr>
        <w:numPr>
          <w:ilvl w:val="0"/>
          <w:numId w:val="4"/>
        </w:numPr>
        <w:spacing w:after="120"/>
        <w:ind w:left="426" w:hanging="426"/>
        <w:jc w:val="both"/>
      </w:pPr>
      <w:r>
        <w:t>Jeżeli destrukt jest własnością Zamawiającego prosimy o wskazanie miejsca wywozu.</w:t>
      </w:r>
    </w:p>
    <w:p w14:paraId="10360DF1" w14:textId="415FF7E9" w:rsidR="00160E65" w:rsidRDefault="00160E65" w:rsidP="00160E65">
      <w:pPr>
        <w:spacing w:after="120"/>
        <w:ind w:left="426"/>
        <w:jc w:val="both"/>
      </w:pPr>
      <w:r w:rsidRPr="00181CC3">
        <w:rPr>
          <w:b/>
          <w:bCs/>
        </w:rPr>
        <w:t>Odpowiedź</w:t>
      </w:r>
      <w:r>
        <w:t xml:space="preserve">: </w:t>
      </w:r>
      <w:r w:rsidR="004D2F03">
        <w:t>Destrukt stanowi własność Wykonawcy.</w:t>
      </w:r>
    </w:p>
    <w:p w14:paraId="3BB8E0E8" w14:textId="70B1CBB7" w:rsidR="00383D9F" w:rsidRDefault="00383D9F" w:rsidP="003822B3">
      <w:pPr>
        <w:numPr>
          <w:ilvl w:val="0"/>
          <w:numId w:val="4"/>
        </w:numPr>
        <w:spacing w:after="120"/>
        <w:ind w:left="426" w:hanging="426"/>
        <w:jc w:val="both"/>
      </w:pPr>
      <w:r>
        <w:t xml:space="preserve">Na podstawie ustawy poz. 1086 z dnia 23 czerwca 2020r. art. 15va ustawy o szczególnych rozwiązaniach związanych z zapobieganiem, przeciwdziałaniem i zwalczaniem COVID-19, innych chorób zakaźnych oraz wywołanych nimi sytuacji kryzysowych znosi się obowiązek żądania wadium w postępowaniu, wyrażony w art. 45 ust. 1 PZP.  W związku z powyższym czy Zamawiający odstąpi od wymagania wadium na zadaniu jak wyżej? </w:t>
      </w:r>
    </w:p>
    <w:p w14:paraId="6FE12683" w14:textId="1EDC83BD" w:rsidR="00160E65" w:rsidRDefault="00160E65" w:rsidP="00160E65">
      <w:pPr>
        <w:spacing w:after="120"/>
        <w:ind w:left="426"/>
        <w:jc w:val="both"/>
      </w:pPr>
      <w:r w:rsidRPr="007B0047">
        <w:rPr>
          <w:b/>
          <w:bCs/>
        </w:rPr>
        <w:t>Odpowiedź</w:t>
      </w:r>
      <w:r>
        <w:t xml:space="preserve">: </w:t>
      </w:r>
      <w:r w:rsidR="007B0047">
        <w:t>Zamawiający wymaga wniesienia wadium zgodnie z SWZ.</w:t>
      </w:r>
    </w:p>
    <w:p w14:paraId="3E98FDAC" w14:textId="2D61440B" w:rsidR="00383D9F" w:rsidRDefault="00383D9F" w:rsidP="003822B3">
      <w:pPr>
        <w:numPr>
          <w:ilvl w:val="0"/>
          <w:numId w:val="4"/>
        </w:numPr>
        <w:spacing w:after="120"/>
        <w:ind w:left="426" w:hanging="426"/>
        <w:jc w:val="both"/>
      </w:pPr>
      <w:r>
        <w:t>Prosimy o potwierdzenie że należy tylko karczować pnie - drzewa zostały wcześniej wycięte.</w:t>
      </w:r>
    </w:p>
    <w:p w14:paraId="077C21B5" w14:textId="7F7AE380" w:rsidR="00160E65" w:rsidRDefault="00160E65" w:rsidP="00160E65">
      <w:pPr>
        <w:spacing w:after="120"/>
        <w:ind w:left="426"/>
        <w:jc w:val="both"/>
      </w:pPr>
      <w:r w:rsidRPr="007B0047">
        <w:rPr>
          <w:b/>
          <w:bCs/>
        </w:rPr>
        <w:t>Odpowiedź:</w:t>
      </w:r>
      <w:r>
        <w:t xml:space="preserve"> </w:t>
      </w:r>
      <w:r w:rsidR="007B0047">
        <w:t>Tak, należy tylko wykarczować pnie.</w:t>
      </w:r>
    </w:p>
    <w:p w14:paraId="0E487DB6" w14:textId="49281C51" w:rsidR="00383D9F" w:rsidRDefault="00383D9F" w:rsidP="007B0047">
      <w:pPr>
        <w:numPr>
          <w:ilvl w:val="0"/>
          <w:numId w:val="4"/>
        </w:numPr>
        <w:autoSpaceDE w:val="0"/>
        <w:autoSpaceDN w:val="0"/>
        <w:adjustRightInd w:val="0"/>
        <w:spacing w:after="120"/>
        <w:ind w:left="426" w:hanging="426"/>
        <w:jc w:val="both"/>
        <w:rPr>
          <w:color w:val="000000"/>
        </w:rPr>
      </w:pPr>
      <w:r>
        <w:rPr>
          <w:color w:val="000000"/>
        </w:rPr>
        <w:lastRenderedPageBreak/>
        <w:t>W SIWZ jest napisane iż należy wykonać odcinek próbny o pow. 500 m2 (warstwa wyrównawcza i ścieralna) na drodze pow. nr 1367C Nogat-Wydrzno – odległość około 8 km od placu budowy. Prosimy o podanie grubości poszczególnych warstw .</w:t>
      </w:r>
    </w:p>
    <w:p w14:paraId="22D32BBD" w14:textId="70B7A381" w:rsidR="005024F7" w:rsidRPr="00295497" w:rsidRDefault="005024F7" w:rsidP="00295497">
      <w:pPr>
        <w:spacing w:after="120"/>
        <w:ind w:left="426"/>
        <w:jc w:val="both"/>
        <w:rPr>
          <w:lang w:eastAsia="en-US"/>
        </w:rPr>
      </w:pPr>
      <w:r w:rsidRPr="00921FE8">
        <w:rPr>
          <w:b/>
          <w:bCs/>
          <w:color w:val="000000"/>
        </w:rPr>
        <w:t>Odpowiedź</w:t>
      </w:r>
      <w:r>
        <w:rPr>
          <w:color w:val="000000"/>
        </w:rPr>
        <w:t xml:space="preserve">: </w:t>
      </w:r>
      <w:r w:rsidR="00295497">
        <w:t>Warstwa wiążąca – 5 cm, warstwa ścieralna – 5 cm</w:t>
      </w:r>
      <w:r w:rsidR="00295497">
        <w:rPr>
          <w:lang w:eastAsia="en-US"/>
        </w:rPr>
        <w:t>.</w:t>
      </w:r>
    </w:p>
    <w:p w14:paraId="0E0B7AE0" w14:textId="684478CB" w:rsidR="00383D9F" w:rsidRDefault="00383D9F" w:rsidP="007B0047">
      <w:pPr>
        <w:numPr>
          <w:ilvl w:val="0"/>
          <w:numId w:val="4"/>
        </w:numPr>
        <w:spacing w:after="120"/>
        <w:ind w:left="426" w:hanging="426"/>
        <w:jc w:val="both"/>
        <w:rPr>
          <w:lang w:eastAsia="en-US"/>
        </w:rPr>
      </w:pPr>
      <w:r>
        <w:t xml:space="preserve">We wzorze umowy w § 14 jest rozbieżność w </w:t>
      </w:r>
      <w:proofErr w:type="spellStart"/>
      <w:r>
        <w:t>pkcie</w:t>
      </w:r>
      <w:proofErr w:type="spellEnd"/>
      <w:r>
        <w:t xml:space="preserve"> 1 podana gwarancja to  72 miesiące natomiast w </w:t>
      </w:r>
      <w:proofErr w:type="spellStart"/>
      <w:r>
        <w:t>pkcie</w:t>
      </w:r>
      <w:proofErr w:type="spellEnd"/>
      <w:r>
        <w:t xml:space="preserve"> 2 to 24 miesiące. Prosimy o wyjaśnienie</w:t>
      </w:r>
      <w:r w:rsidR="007B0047">
        <w:t>.</w:t>
      </w:r>
    </w:p>
    <w:p w14:paraId="25DAE11C" w14:textId="58F7641A" w:rsidR="007B0047" w:rsidRDefault="007B0047" w:rsidP="007B0047">
      <w:pPr>
        <w:spacing w:after="120"/>
        <w:ind w:left="426"/>
        <w:jc w:val="both"/>
        <w:rPr>
          <w:lang w:eastAsia="en-US"/>
        </w:rPr>
      </w:pPr>
      <w:r w:rsidRPr="00295497">
        <w:rPr>
          <w:b/>
          <w:bCs/>
        </w:rPr>
        <w:t>Odpowiedź</w:t>
      </w:r>
      <w:r>
        <w:t xml:space="preserve">: </w:t>
      </w:r>
      <w:bookmarkStart w:id="0" w:name="_Hlk63242621"/>
      <w:r w:rsidR="00295497">
        <w:t>W § 14 ust.1 projektu umowy zawiera zapis dotyczący okresu gwarancji natomiast w § 14 ust. 2 zawarty jest zapis dotyczący okresu rękojmi za wady.</w:t>
      </w:r>
    </w:p>
    <w:bookmarkEnd w:id="0"/>
    <w:p w14:paraId="697588FD" w14:textId="45555961" w:rsidR="00383D9F" w:rsidRDefault="00383D9F" w:rsidP="003822B3">
      <w:pPr>
        <w:numPr>
          <w:ilvl w:val="0"/>
          <w:numId w:val="4"/>
        </w:numPr>
        <w:spacing w:after="120"/>
        <w:ind w:left="426" w:hanging="426"/>
        <w:jc w:val="both"/>
      </w:pPr>
      <w:r>
        <w:t>W dokumentacji technicznej na poszerzeniu gr stabilizacji to 10 cm natomiast w przedmiarze poz. 1.2.4 to 15 cm. Prosimy o wyjaśnienie oraz podanie prawidłowej grubości do wykonania stabilizacji na poszerzeniu.</w:t>
      </w:r>
    </w:p>
    <w:p w14:paraId="7652B347" w14:textId="0A8D72DF" w:rsidR="007B0047" w:rsidRDefault="007B0047" w:rsidP="007B0047">
      <w:pPr>
        <w:spacing w:after="120"/>
        <w:ind w:left="426"/>
        <w:jc w:val="both"/>
      </w:pPr>
      <w:r w:rsidRPr="00295497">
        <w:rPr>
          <w:b/>
          <w:bCs/>
        </w:rPr>
        <w:t>Odpowiedź</w:t>
      </w:r>
      <w:r>
        <w:t>:</w:t>
      </w:r>
      <w:r w:rsidR="009A723C">
        <w:t xml:space="preserve"> Należy przyjąć 15 cm.</w:t>
      </w:r>
    </w:p>
    <w:p w14:paraId="5D1532CA" w14:textId="2DF8087A" w:rsidR="00383D9F" w:rsidRDefault="00383D9F" w:rsidP="003822B3">
      <w:pPr>
        <w:numPr>
          <w:ilvl w:val="0"/>
          <w:numId w:val="4"/>
        </w:numPr>
        <w:spacing w:after="120"/>
        <w:ind w:left="426" w:hanging="426"/>
        <w:jc w:val="both"/>
      </w:pPr>
      <w:r>
        <w:t>W dokumentacji technicznej na planie sytuacyjnym w km 5+500 jest napisane – istniejący przepust pod drogą do odtworzenia. Prosimy o wyjaśnienie jeżeli należy go przebudować prosimy o załączenie dokumentacji rysunków szczegółów konstrukcyjnych. Prosimy o dopisanie brakujących pozycji.</w:t>
      </w:r>
    </w:p>
    <w:p w14:paraId="1F69F5EE" w14:textId="49D10E94" w:rsidR="007B0047" w:rsidRDefault="007B0047" w:rsidP="007B0047">
      <w:pPr>
        <w:spacing w:after="120"/>
        <w:ind w:left="426"/>
        <w:jc w:val="both"/>
      </w:pPr>
      <w:r w:rsidRPr="00921FE8">
        <w:rPr>
          <w:b/>
          <w:bCs/>
        </w:rPr>
        <w:t>Odpowiedź:</w:t>
      </w:r>
      <w:r>
        <w:t xml:space="preserve"> </w:t>
      </w:r>
      <w:r w:rsidR="00921FE8">
        <w:t>Należy skalkulować wymianę przepustu pod drogą o długości 10m i średnicy 50 cm</w:t>
      </w:r>
      <w:r w:rsidR="00921FE8">
        <w:t xml:space="preserve"> (z PVC)</w:t>
      </w:r>
      <w:r w:rsidR="00921FE8">
        <w:t xml:space="preserve"> wraz z połączeniem z 2 studniami chłonnymi o średnicy 100cm i wysokości 2 m. Do wyceny zastosować typowe rozwiązania katalogowe</w:t>
      </w:r>
      <w:r w:rsidR="00921FE8">
        <w:t>.</w:t>
      </w:r>
    </w:p>
    <w:p w14:paraId="114A6A45" w14:textId="1A02A1EC" w:rsidR="00383D9F" w:rsidRDefault="00383D9F" w:rsidP="003822B3">
      <w:pPr>
        <w:numPr>
          <w:ilvl w:val="0"/>
          <w:numId w:val="4"/>
        </w:numPr>
        <w:spacing w:after="120"/>
        <w:ind w:left="426" w:hanging="426"/>
        <w:jc w:val="both"/>
      </w:pPr>
      <w:r>
        <w:t>W przedmiarze robót w poz. 1.5.1 i 1.5.2 opisane są przepusty pod zjazdami. Prosimy o podanie lokalizacji i ilości gdzie należy wykonać przepusty.</w:t>
      </w:r>
    </w:p>
    <w:p w14:paraId="720A88E3" w14:textId="7775C889" w:rsidR="007B0047" w:rsidRDefault="007B0047" w:rsidP="007B0047">
      <w:pPr>
        <w:spacing w:after="120"/>
        <w:ind w:left="426"/>
        <w:jc w:val="both"/>
      </w:pPr>
      <w:r w:rsidRPr="00921FE8">
        <w:rPr>
          <w:b/>
          <w:bCs/>
        </w:rPr>
        <w:t>Odpowiedź</w:t>
      </w:r>
      <w:r>
        <w:t xml:space="preserve">: </w:t>
      </w:r>
      <w:r w:rsidR="00830C69">
        <w:t xml:space="preserve">Lokalizacja zgodnie z planem sytuacyjnym. </w:t>
      </w:r>
      <w:r w:rsidR="00921FE8">
        <w:t>Należy skalkulować budowę dwóch przepustów pod wjazdami o średnicy 40 cm i łącznej długości 18 m z PVC (poz. 1.5.2 przedmiaru) oraz</w:t>
      </w:r>
      <w:r w:rsidR="00F152D8">
        <w:t xml:space="preserve"> uwzględnić 4 ścianki czołowe </w:t>
      </w:r>
      <w:r w:rsidR="00921FE8">
        <w:t>(poz. 1.5.3 przedmiaru).</w:t>
      </w:r>
    </w:p>
    <w:p w14:paraId="6EDB8858" w14:textId="0B125B4A" w:rsidR="00383D9F" w:rsidRDefault="00383D9F" w:rsidP="003822B3">
      <w:pPr>
        <w:numPr>
          <w:ilvl w:val="0"/>
          <w:numId w:val="4"/>
        </w:numPr>
        <w:spacing w:after="120"/>
        <w:ind w:left="426" w:hanging="426"/>
        <w:jc w:val="both"/>
      </w:pPr>
      <w:r>
        <w:t xml:space="preserve">Prosimy o wyjaśnienie w jakich pozycjach ujęte są wykopy pod przepusty. </w:t>
      </w:r>
    </w:p>
    <w:p w14:paraId="5A44E1AD" w14:textId="2AFD38A6" w:rsidR="007B0047" w:rsidRDefault="007B0047" w:rsidP="007B0047">
      <w:pPr>
        <w:spacing w:after="120"/>
        <w:ind w:left="426"/>
        <w:jc w:val="both"/>
      </w:pPr>
      <w:r w:rsidRPr="004D2F03">
        <w:rPr>
          <w:b/>
          <w:bCs/>
        </w:rPr>
        <w:t>Odpowiedź</w:t>
      </w:r>
      <w:r>
        <w:t xml:space="preserve">: </w:t>
      </w:r>
      <w:r w:rsidR="004D2F03">
        <w:t xml:space="preserve">Ujęto w </w:t>
      </w:r>
      <w:r w:rsidR="004D2F03" w:rsidRPr="00065648">
        <w:t>poz. 1.2.1</w:t>
      </w:r>
      <w:r w:rsidR="00065648">
        <w:t xml:space="preserve"> przedmiaru.</w:t>
      </w:r>
    </w:p>
    <w:p w14:paraId="770A8968" w14:textId="0FAAC9F3" w:rsidR="00383D9F" w:rsidRDefault="00383D9F" w:rsidP="003822B3">
      <w:pPr>
        <w:numPr>
          <w:ilvl w:val="0"/>
          <w:numId w:val="4"/>
        </w:numPr>
        <w:spacing w:after="120"/>
        <w:ind w:left="426" w:hanging="426"/>
        <w:jc w:val="both"/>
      </w:pPr>
      <w:r>
        <w:t xml:space="preserve">W przedmiarze w pozycji 1.6.5 jest napisane: wykonanie poboczy z tłucznia kamiennego gr 7cm w ilości 1160 m2. Wg Wykonawcy poboczy do wykonania jest 1160 </w:t>
      </w:r>
      <w:proofErr w:type="spellStart"/>
      <w:r>
        <w:t>mb</w:t>
      </w:r>
      <w:proofErr w:type="spellEnd"/>
      <w:r>
        <w:t>* 1 m * 2 strony czyli 2320 m2. Prosimy o wyjaśnienie.</w:t>
      </w:r>
    </w:p>
    <w:p w14:paraId="26121D0F" w14:textId="3E70EE72" w:rsidR="007B0047" w:rsidRDefault="007B0047" w:rsidP="007B0047">
      <w:pPr>
        <w:spacing w:after="120"/>
        <w:ind w:left="426"/>
        <w:jc w:val="both"/>
      </w:pPr>
      <w:r w:rsidRPr="00181CC3">
        <w:rPr>
          <w:b/>
          <w:bCs/>
        </w:rPr>
        <w:t>Odpowiedź:</w:t>
      </w:r>
      <w:r>
        <w:t xml:space="preserve"> Należy przyjąć pobocza w ilości 2320 m2.</w:t>
      </w:r>
    </w:p>
    <w:p w14:paraId="4AA3854D" w14:textId="77777777" w:rsidR="00383D9F" w:rsidRDefault="00383D9F" w:rsidP="009272B7">
      <w:pPr>
        <w:numPr>
          <w:ilvl w:val="0"/>
          <w:numId w:val="4"/>
        </w:numPr>
        <w:ind w:left="426" w:hanging="426"/>
        <w:jc w:val="both"/>
        <w:rPr>
          <w:sz w:val="22"/>
          <w:szCs w:val="22"/>
        </w:rPr>
      </w:pPr>
      <w:r>
        <w:t>Prosimy o załączenie brakujących SST:</w:t>
      </w:r>
    </w:p>
    <w:p w14:paraId="7E3DBFBF" w14:textId="77777777" w:rsidR="00383D9F" w:rsidRDefault="00383D9F" w:rsidP="009272B7">
      <w:pPr>
        <w:ind w:left="426" w:firstLine="283"/>
        <w:jc w:val="both"/>
      </w:pPr>
      <w:r>
        <w:t>- karczowanie pni</w:t>
      </w:r>
    </w:p>
    <w:p w14:paraId="21F20E5B" w14:textId="77777777" w:rsidR="00383D9F" w:rsidRDefault="00383D9F" w:rsidP="009272B7">
      <w:pPr>
        <w:ind w:left="426" w:firstLine="283"/>
        <w:jc w:val="both"/>
      </w:pPr>
      <w:r>
        <w:t>- karczowanie krzaków</w:t>
      </w:r>
    </w:p>
    <w:p w14:paraId="5E1D7839" w14:textId="77777777" w:rsidR="00383D9F" w:rsidRDefault="00383D9F" w:rsidP="009272B7">
      <w:pPr>
        <w:ind w:left="426" w:firstLine="283"/>
        <w:jc w:val="both"/>
      </w:pPr>
      <w:r>
        <w:t>- cięcie piłą nawierzchni bitumicznych</w:t>
      </w:r>
    </w:p>
    <w:p w14:paraId="2B9A0145" w14:textId="77777777" w:rsidR="00383D9F" w:rsidRDefault="00383D9F" w:rsidP="009272B7">
      <w:pPr>
        <w:ind w:left="426" w:firstLine="283"/>
        <w:jc w:val="both"/>
      </w:pPr>
      <w:r>
        <w:t>- roboty rozbiórkowe</w:t>
      </w:r>
    </w:p>
    <w:p w14:paraId="4E2F7062" w14:textId="77777777" w:rsidR="00383D9F" w:rsidRDefault="00383D9F" w:rsidP="009272B7">
      <w:pPr>
        <w:ind w:left="426" w:firstLine="283"/>
        <w:jc w:val="both"/>
      </w:pPr>
      <w:r>
        <w:t>- wykonanie wykopów</w:t>
      </w:r>
    </w:p>
    <w:p w14:paraId="0CF741E9" w14:textId="77777777" w:rsidR="00383D9F" w:rsidRDefault="00383D9F" w:rsidP="009272B7">
      <w:pPr>
        <w:ind w:left="567" w:firstLine="142"/>
        <w:jc w:val="both"/>
      </w:pPr>
      <w:r>
        <w:t>- wykonanie przepustów</w:t>
      </w:r>
    </w:p>
    <w:p w14:paraId="04A8471D" w14:textId="6CE0C0CD" w:rsidR="00383D9F" w:rsidRDefault="00383D9F" w:rsidP="00936132">
      <w:pPr>
        <w:spacing w:after="120"/>
        <w:ind w:left="567" w:firstLine="142"/>
        <w:jc w:val="both"/>
      </w:pPr>
      <w:r>
        <w:t>- Wykonanie nasypów</w:t>
      </w:r>
    </w:p>
    <w:p w14:paraId="05516D24" w14:textId="4289EA9E" w:rsidR="00936132" w:rsidRDefault="00936132" w:rsidP="00936132">
      <w:pPr>
        <w:spacing w:after="120"/>
        <w:ind w:left="426"/>
        <w:jc w:val="both"/>
      </w:pPr>
      <w:r w:rsidRPr="00936132">
        <w:rPr>
          <w:b/>
          <w:bCs/>
        </w:rPr>
        <w:t>Odpowiedź</w:t>
      </w:r>
      <w:r>
        <w:t>: Brakujące SST Zamawiający zamieścił na stronie internetowej prowadzonego postępowania.</w:t>
      </w:r>
    </w:p>
    <w:p w14:paraId="19E5BBA7" w14:textId="18E224E9" w:rsidR="00383D9F" w:rsidRDefault="00383D9F" w:rsidP="00936132">
      <w:pPr>
        <w:pStyle w:val="Akapitzlist"/>
        <w:numPr>
          <w:ilvl w:val="0"/>
          <w:numId w:val="6"/>
        </w:numPr>
        <w:autoSpaceDE w:val="0"/>
        <w:autoSpaceDN w:val="0"/>
        <w:adjustRightInd w:val="0"/>
        <w:spacing w:after="120"/>
        <w:ind w:left="426" w:hanging="426"/>
      </w:pPr>
      <w:r>
        <w:t>Prosimy o potwierdzenie iż SST: D-08.01.01 Kraw</w:t>
      </w:r>
      <w:r w:rsidRPr="00383D9F">
        <w:rPr>
          <w:rFonts w:eastAsia="TimesNewRoman"/>
        </w:rPr>
        <w:t>ęż</w:t>
      </w:r>
      <w:r>
        <w:t>niki betonowe D-08.03.01 Obrze</w:t>
      </w:r>
      <w:r w:rsidRPr="00383D9F">
        <w:rPr>
          <w:rFonts w:eastAsia="TimesNewRoman"/>
        </w:rPr>
        <w:t>ż</w:t>
      </w:r>
      <w:r>
        <w:t>a betonowe D-09.01.01 Ziele</w:t>
      </w:r>
      <w:r w:rsidRPr="00383D9F">
        <w:rPr>
          <w:rFonts w:eastAsia="TimesNewRoman"/>
        </w:rPr>
        <w:t xml:space="preserve">ń </w:t>
      </w:r>
      <w:r>
        <w:t>drogowa zostały błędnie załączone – brakuje takich pozycji w przedmiarze.</w:t>
      </w:r>
    </w:p>
    <w:p w14:paraId="36AEBA70" w14:textId="23E6EB61" w:rsidR="00936132" w:rsidRDefault="00936132" w:rsidP="00936132">
      <w:pPr>
        <w:pStyle w:val="Akapitzlist"/>
        <w:autoSpaceDE w:val="0"/>
        <w:autoSpaceDN w:val="0"/>
        <w:adjustRightInd w:val="0"/>
        <w:spacing w:after="120"/>
        <w:ind w:left="426"/>
      </w:pPr>
      <w:r w:rsidRPr="00936132">
        <w:rPr>
          <w:b/>
          <w:bCs/>
        </w:rPr>
        <w:lastRenderedPageBreak/>
        <w:t>Odpowiedź</w:t>
      </w:r>
      <w:r>
        <w:t>: Powyższe SST nie dotyczą tego etapu robót.</w:t>
      </w:r>
    </w:p>
    <w:p w14:paraId="1D5CA70C" w14:textId="5034E8E2" w:rsidR="00383D9F" w:rsidRDefault="00383D9F" w:rsidP="00160E65">
      <w:pPr>
        <w:numPr>
          <w:ilvl w:val="0"/>
          <w:numId w:val="7"/>
        </w:numPr>
        <w:autoSpaceDE w:val="0"/>
        <w:autoSpaceDN w:val="0"/>
        <w:adjustRightInd w:val="0"/>
        <w:spacing w:after="120"/>
        <w:ind w:left="426" w:hanging="426"/>
      </w:pPr>
      <w:r>
        <w:t xml:space="preserve">Prosimy o wskazanie lokalizacji rozebrania nawierzchni z mas </w:t>
      </w:r>
      <w:proofErr w:type="spellStart"/>
      <w:r>
        <w:t>mineralno</w:t>
      </w:r>
      <w:proofErr w:type="spellEnd"/>
      <w:r>
        <w:t xml:space="preserve"> - bitumicznych (przedmiar poz. 1.1.6 ilość 790*3,5) oraz podbudowy. W przedmiarze w pozycji 1.1.6  jest napisane iż  należy wykonać rozbiórki przełomów. Prosimy o podanie dokładnej lokalizacji przełomów.</w:t>
      </w:r>
    </w:p>
    <w:p w14:paraId="18D6FCDF" w14:textId="1B837441" w:rsidR="004D2F03" w:rsidRPr="00181CC3" w:rsidRDefault="004D2F03" w:rsidP="00181CC3">
      <w:pPr>
        <w:autoSpaceDE w:val="0"/>
        <w:autoSpaceDN w:val="0"/>
        <w:adjustRightInd w:val="0"/>
        <w:spacing w:after="120"/>
        <w:ind w:left="426"/>
        <w:jc w:val="both"/>
      </w:pPr>
      <w:r w:rsidRPr="00181CC3">
        <w:rPr>
          <w:b/>
          <w:bCs/>
        </w:rPr>
        <w:t>Odpowiedź</w:t>
      </w:r>
      <w:r>
        <w:t xml:space="preserve">: </w:t>
      </w:r>
      <w:r w:rsidR="00181CC3">
        <w:t>Należy przyjąć zgodnie z przedmiarem. Dokładna l</w:t>
      </w:r>
      <w:r w:rsidR="00181CC3" w:rsidRPr="00181CC3">
        <w:rPr>
          <w:rStyle w:val="size"/>
          <w:color w:val="2D2D2D"/>
        </w:rPr>
        <w:t>okalizacja zostanie wskazana przez inspektora nadzoru</w:t>
      </w:r>
      <w:r w:rsidR="00181CC3">
        <w:rPr>
          <w:rStyle w:val="size"/>
          <w:color w:val="2D2D2D"/>
        </w:rPr>
        <w:t>.</w:t>
      </w:r>
    </w:p>
    <w:p w14:paraId="068145BD" w14:textId="76D201BD" w:rsidR="00383D9F" w:rsidRDefault="00383D9F" w:rsidP="0085357F">
      <w:pPr>
        <w:numPr>
          <w:ilvl w:val="0"/>
          <w:numId w:val="7"/>
        </w:numPr>
        <w:autoSpaceDE w:val="0"/>
        <w:autoSpaceDN w:val="0"/>
        <w:adjustRightInd w:val="0"/>
        <w:spacing w:after="120"/>
        <w:ind w:left="426" w:hanging="426"/>
        <w:jc w:val="both"/>
      </w:pPr>
      <w:r>
        <w:t xml:space="preserve">W opisie technicznym jest napisane iż istniejąca droga ma szerokość 4,5 m projektowana ma mieć 5 m szerokości. Z przedmiaru ( pozycje 1.2.1 – 1.2.7) wynika iż należy wykonać tylko 25 cm poszerzenia. Na planie sytuacyjnym nie zaznaczono poszerzenia więc Wykonawca nie ma możliwości pomiaru i weryfikacji. Ze względu na ryczałtowy charakter rozliczenia prosimy o wyjaśnienie ewentualne poprawienie błędnej ilości lub potwierdzenie że należy poszerzyć drogę o 25 cm. </w:t>
      </w:r>
    </w:p>
    <w:p w14:paraId="7199B21C" w14:textId="0B68D03A" w:rsidR="004D2F03" w:rsidRDefault="004D2F03" w:rsidP="004D2F03">
      <w:pPr>
        <w:autoSpaceDE w:val="0"/>
        <w:autoSpaceDN w:val="0"/>
        <w:adjustRightInd w:val="0"/>
        <w:spacing w:after="120"/>
        <w:ind w:left="426"/>
        <w:jc w:val="both"/>
      </w:pPr>
      <w:r w:rsidRPr="00295497">
        <w:rPr>
          <w:b/>
          <w:bCs/>
        </w:rPr>
        <w:t>Odpowiedź</w:t>
      </w:r>
      <w:r>
        <w:t>: Należy przyjąć 0,5m poszerzenia.</w:t>
      </w:r>
    </w:p>
    <w:p w14:paraId="7F518305" w14:textId="43066D77" w:rsidR="00383D9F" w:rsidRDefault="00383D9F" w:rsidP="0085357F">
      <w:pPr>
        <w:pStyle w:val="Akapitzlist"/>
        <w:numPr>
          <w:ilvl w:val="0"/>
          <w:numId w:val="7"/>
        </w:numPr>
        <w:autoSpaceDE w:val="0"/>
        <w:autoSpaceDN w:val="0"/>
        <w:adjustRightInd w:val="0"/>
        <w:ind w:left="426" w:hanging="426"/>
        <w:jc w:val="both"/>
      </w:pPr>
      <w:r>
        <w:t>W związku z ogłoszoną w środę 11 marca 2020 przez Światową Organizację Zdrowia pandemią choroby COVID-19 nastąpiło wejście w życie regulacji prawnych wprowadzających szczególne środki na czas pandemii, tj. Rozporządzenie Ministra 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751C52D2" w14:textId="77777777" w:rsidR="00383D9F" w:rsidRDefault="00383D9F" w:rsidP="0085357F">
      <w:pPr>
        <w:autoSpaceDE w:val="0"/>
        <w:autoSpaceDN w:val="0"/>
        <w:adjustRightInd w:val="0"/>
        <w:ind w:left="714"/>
        <w:jc w:val="both"/>
      </w:pPr>
      <w:r>
        <w:t xml:space="preserve">-  szczególnych rozwiązań w okresie czasowego ograniczenia funkcjonowania jednostek systemu oświaty w związku z zapobieganiem, przeciwdziałaniem i zwalczaniem COVID-19, </w:t>
      </w:r>
    </w:p>
    <w:p w14:paraId="5AA233CE" w14:textId="77777777" w:rsidR="00383D9F" w:rsidRDefault="00383D9F" w:rsidP="0085357F">
      <w:pPr>
        <w:autoSpaceDE w:val="0"/>
        <w:autoSpaceDN w:val="0"/>
        <w:adjustRightInd w:val="0"/>
        <w:ind w:left="714"/>
        <w:jc w:val="both"/>
      </w:pPr>
      <w:r>
        <w:t xml:space="preserve">- zmieniające rozporządzenie w sprawie czasowego ograniczenia funkcjonowania jednostek systemu oświaty w związku z zapobieganiem, przeciwdziałaniem i zwalczaniem COVID-19, które zawiesza funkcjonowanie placówek oświatowych w okresie do 10 kwietnia 2020 r. z możliwością jego przedłużenia. </w:t>
      </w:r>
    </w:p>
    <w:p w14:paraId="6E6D951A" w14:textId="09F4E673" w:rsidR="00383D9F" w:rsidRDefault="00383D9F" w:rsidP="0085357F">
      <w:pPr>
        <w:autoSpaceDE w:val="0"/>
        <w:autoSpaceDN w:val="0"/>
        <w:adjustRightInd w:val="0"/>
        <w:spacing w:after="120"/>
        <w:ind w:left="714"/>
        <w:jc w:val="both"/>
      </w:pPr>
      <w:r>
        <w:t xml:space="preserve">Jednocześnie stały wzrost przypadków </w:t>
      </w:r>
      <w:proofErr w:type="spellStart"/>
      <w:r>
        <w:t>zachorowań</w:t>
      </w:r>
      <w:proofErr w:type="spellEnd"/>
      <w:r>
        <w:t xml:space="preserve">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może wpłynąć negatywnie na współpracę z podwykonawcami, dostawcami, projektantami itp. Wykonawca wskazuje, że powyższa sytuacja w dalszej perspektywie – której ramy czasowe na dzień składania oferty pozostają nieznane - może spowodować istotne problemy z wykonaniem umowy oraz jej ewentualnych terminów pośrednich w terminach określonych umownie. W związku z powyższym Wykonawca zapytuje, czy Zamawiający przewiduje możliwość wydłużenia czasu na ukończenie wykonania </w:t>
      </w:r>
      <w:r>
        <w:lastRenderedPageBreak/>
        <w:t>umowy, jak również wydłużenie czasu na wykonanie terminów pośrednich w przypadku wykazania przez Wykonawcę przeszkód w realizacji Umowy związanych z pandemią COVID-19? Jakich dowodów będzie oczekiwał Zamawiający w celu wykazania powyższych okoliczności?</w:t>
      </w:r>
    </w:p>
    <w:p w14:paraId="2A2ECEC6" w14:textId="25F648F5" w:rsidR="00F01A52" w:rsidRPr="00F9374E" w:rsidRDefault="00160E65" w:rsidP="00F01A52">
      <w:pPr>
        <w:tabs>
          <w:tab w:val="left" w:pos="9072"/>
        </w:tabs>
        <w:spacing w:line="276" w:lineRule="auto"/>
        <w:ind w:left="708"/>
        <w:jc w:val="both"/>
        <w:rPr>
          <w:b/>
          <w:bCs/>
          <w:sz w:val="22"/>
          <w:szCs w:val="22"/>
        </w:rPr>
      </w:pPr>
      <w:r w:rsidRPr="00F01A52">
        <w:rPr>
          <w:b/>
          <w:bCs/>
        </w:rPr>
        <w:t>Odpowiedź</w:t>
      </w:r>
      <w:r>
        <w:t xml:space="preserve">: </w:t>
      </w:r>
      <w:r w:rsidR="00F01A52" w:rsidRPr="00F01A52">
        <w:rPr>
          <w:sz w:val="22"/>
          <w:szCs w:val="22"/>
        </w:rPr>
        <w:t>Zamawiający w myśl art. 15r ust. 4 specustawy przewiduje możliwość modyfikowania warunków umowy m. in. przez zmianę terminu jej wykonania.</w:t>
      </w:r>
    </w:p>
    <w:p w14:paraId="60BF5027" w14:textId="77777777" w:rsidR="00F01A52" w:rsidRPr="0010264B" w:rsidRDefault="00F01A52" w:rsidP="00F01A52">
      <w:pPr>
        <w:tabs>
          <w:tab w:val="left" w:pos="9072"/>
        </w:tabs>
        <w:spacing w:line="276" w:lineRule="auto"/>
        <w:ind w:left="708"/>
        <w:jc w:val="both"/>
        <w:rPr>
          <w:sz w:val="22"/>
          <w:szCs w:val="22"/>
        </w:rPr>
      </w:pPr>
      <w:r w:rsidRPr="0010264B">
        <w:rPr>
          <w:sz w:val="22"/>
          <w:szCs w:val="22"/>
        </w:rPr>
        <w:t>Wykonawca zobowiązany będzie wykazać, że wskazane przez niego okoliczności są związane z wystąpieniem COVID-19 i mają bezpośredni wpływ na należyte wywiązanie się z warunków zawartej umowy.</w:t>
      </w:r>
    </w:p>
    <w:p w14:paraId="2672DA49" w14:textId="77777777" w:rsidR="00F01A52" w:rsidRPr="0010264B" w:rsidRDefault="00F01A52" w:rsidP="00F01A52">
      <w:pPr>
        <w:tabs>
          <w:tab w:val="left" w:pos="9072"/>
        </w:tabs>
        <w:spacing w:line="276" w:lineRule="auto"/>
        <w:ind w:left="708"/>
        <w:jc w:val="both"/>
        <w:rPr>
          <w:rFonts w:eastAsia="Calibri"/>
          <w:sz w:val="22"/>
          <w:szCs w:val="22"/>
          <w:lang w:eastAsia="en-US"/>
        </w:rPr>
      </w:pPr>
      <w:r w:rsidRPr="0010264B">
        <w:rPr>
          <w:rFonts w:eastAsia="Calibri"/>
          <w:sz w:val="22"/>
          <w:szCs w:val="22"/>
          <w:lang w:eastAsia="en-US"/>
        </w:rPr>
        <w:t>Bezpośrednio w art. 15r ust. 1 specustawy wskazano katalog dokumentów, które mogą uzasadniać wystąpienie takich okoliczności, tj. dotyczą odpowiednio:</w:t>
      </w:r>
    </w:p>
    <w:p w14:paraId="1F2CEE80" w14:textId="77777777" w:rsidR="00F01A52" w:rsidRPr="0010264B" w:rsidRDefault="00F01A52" w:rsidP="00F01A52">
      <w:pPr>
        <w:numPr>
          <w:ilvl w:val="0"/>
          <w:numId w:val="10"/>
        </w:numPr>
        <w:tabs>
          <w:tab w:val="clear" w:pos="720"/>
          <w:tab w:val="num" w:pos="1002"/>
          <w:tab w:val="left" w:pos="9072"/>
        </w:tabs>
        <w:spacing w:line="276" w:lineRule="auto"/>
        <w:ind w:left="1002"/>
        <w:jc w:val="both"/>
        <w:rPr>
          <w:rFonts w:eastAsia="Calibri"/>
          <w:sz w:val="22"/>
          <w:szCs w:val="22"/>
          <w:lang w:eastAsia="en-US"/>
        </w:rPr>
      </w:pPr>
      <w:r w:rsidRPr="0010264B">
        <w:rPr>
          <w:rFonts w:eastAsia="Calibri"/>
          <w:sz w:val="22"/>
          <w:szCs w:val="22"/>
          <w:lang w:eastAsia="en-US"/>
        </w:rPr>
        <w:t>nieobecności pracowników lub osób świadczących pracę za wynagrodzeniem na innej podstawie niż stosunek pracy, które uczestniczą lub mogłyby uczestniczyć w realizacji zamówienia;</w:t>
      </w:r>
    </w:p>
    <w:p w14:paraId="19C65F06" w14:textId="77777777" w:rsidR="00F01A52" w:rsidRPr="0010264B" w:rsidRDefault="00F01A52" w:rsidP="00D147CC">
      <w:pPr>
        <w:numPr>
          <w:ilvl w:val="0"/>
          <w:numId w:val="10"/>
        </w:numPr>
        <w:tabs>
          <w:tab w:val="clear" w:pos="720"/>
          <w:tab w:val="num" w:pos="1002"/>
          <w:tab w:val="left" w:pos="9072"/>
        </w:tabs>
        <w:spacing w:line="276" w:lineRule="auto"/>
        <w:ind w:left="1002"/>
        <w:jc w:val="both"/>
        <w:rPr>
          <w:rFonts w:eastAsia="Calibri"/>
          <w:sz w:val="22"/>
          <w:szCs w:val="22"/>
          <w:lang w:eastAsia="en-US"/>
        </w:rPr>
      </w:pPr>
      <w:r w:rsidRPr="0010264B">
        <w:rPr>
          <w:rFonts w:eastAsia="Calibri"/>
          <w:sz w:val="22"/>
          <w:szCs w:val="22"/>
          <w:lang w:eastAsia="en-US"/>
        </w:rPr>
        <w:t>decyzji, nakładających na wykonawcę obowiązek podjęcia określonych czynności zapobiegawczych lub kontrolnych w związku z przeciwdziałaniem COVID-19, wydanych przez Głównego Inspektora Sanitarnego lub działającego z jego upoważnienia państwowego wojewódzkiego inspektora sanitarnego;</w:t>
      </w:r>
    </w:p>
    <w:p w14:paraId="6A381755" w14:textId="77777777" w:rsidR="00F01A52" w:rsidRPr="0010264B" w:rsidRDefault="00F01A52" w:rsidP="00F01A52">
      <w:pPr>
        <w:numPr>
          <w:ilvl w:val="0"/>
          <w:numId w:val="10"/>
        </w:numPr>
        <w:tabs>
          <w:tab w:val="clear" w:pos="720"/>
          <w:tab w:val="num" w:pos="1002"/>
          <w:tab w:val="left" w:pos="9072"/>
        </w:tabs>
        <w:spacing w:line="276" w:lineRule="auto"/>
        <w:ind w:left="1002"/>
        <w:jc w:val="both"/>
        <w:rPr>
          <w:rFonts w:eastAsia="Calibri"/>
          <w:sz w:val="22"/>
          <w:szCs w:val="22"/>
          <w:lang w:eastAsia="en-US"/>
        </w:rPr>
      </w:pPr>
      <w:r w:rsidRPr="0010264B">
        <w:rPr>
          <w:rFonts w:eastAsia="Calibri"/>
          <w:sz w:val="22"/>
          <w:szCs w:val="22"/>
          <w:lang w:eastAsia="en-US"/>
        </w:rPr>
        <w:t>poleceń lub decyzji, związanych z przeciwdziałaniem COVID-19, wydanych odpowiednio przez wojewodów lub Prezesa Rady Ministrów na podstawie art. 11 ust. 1 i 2 specustawy;</w:t>
      </w:r>
    </w:p>
    <w:p w14:paraId="04E413E4" w14:textId="77777777" w:rsidR="00F01A52" w:rsidRPr="0010264B" w:rsidRDefault="00F01A52" w:rsidP="00F01A52">
      <w:pPr>
        <w:numPr>
          <w:ilvl w:val="0"/>
          <w:numId w:val="10"/>
        </w:numPr>
        <w:tabs>
          <w:tab w:val="clear" w:pos="720"/>
          <w:tab w:val="num" w:pos="1002"/>
          <w:tab w:val="left" w:pos="9072"/>
        </w:tabs>
        <w:spacing w:line="276" w:lineRule="auto"/>
        <w:ind w:left="1002"/>
        <w:jc w:val="both"/>
        <w:rPr>
          <w:rFonts w:eastAsia="Calibri"/>
          <w:sz w:val="22"/>
          <w:szCs w:val="22"/>
          <w:lang w:eastAsia="en-US"/>
        </w:rPr>
      </w:pPr>
      <w:r w:rsidRPr="0010264B">
        <w:rPr>
          <w:rFonts w:eastAsia="Calibri"/>
          <w:sz w:val="22"/>
          <w:szCs w:val="22"/>
          <w:lang w:eastAsia="en-US"/>
        </w:rPr>
        <w:t>wstrzymania dostaw produktów, komponentów produktu lub materiałów, trudności w dostępie do sprzętu lub trudności w realizacji usług transportowych;</w:t>
      </w:r>
    </w:p>
    <w:p w14:paraId="3CDBB68B" w14:textId="77777777" w:rsidR="00F01A52" w:rsidRPr="0010264B" w:rsidRDefault="00F01A52" w:rsidP="00F01A52">
      <w:pPr>
        <w:tabs>
          <w:tab w:val="left" w:pos="9072"/>
        </w:tabs>
        <w:spacing w:line="276" w:lineRule="auto"/>
        <w:ind w:left="708"/>
        <w:jc w:val="both"/>
        <w:rPr>
          <w:rFonts w:eastAsia="Calibri"/>
          <w:sz w:val="22"/>
          <w:szCs w:val="22"/>
          <w:lang w:eastAsia="en-US"/>
        </w:rPr>
      </w:pPr>
      <w:r w:rsidRPr="0010264B">
        <w:rPr>
          <w:rFonts w:eastAsia="Calibri"/>
          <w:sz w:val="22"/>
          <w:szCs w:val="22"/>
          <w:lang w:eastAsia="en-US"/>
        </w:rPr>
        <w:t>Okoliczności wskazane w tym katalogu odnoszą się w takim stopniu do podwykonawcy oraz dalszych podwykonawcy w zakresie w jakim ich dotyczą.</w:t>
      </w:r>
    </w:p>
    <w:p w14:paraId="53F6CC7C" w14:textId="77777777" w:rsidR="00F01A52" w:rsidRPr="0010264B" w:rsidRDefault="00F01A52" w:rsidP="00F01A52">
      <w:pPr>
        <w:tabs>
          <w:tab w:val="left" w:pos="9072"/>
        </w:tabs>
        <w:spacing w:line="276" w:lineRule="auto"/>
        <w:ind w:left="708"/>
        <w:jc w:val="both"/>
        <w:rPr>
          <w:rFonts w:eastAsia="Calibri"/>
          <w:sz w:val="22"/>
          <w:szCs w:val="22"/>
          <w:lang w:eastAsia="en-US"/>
        </w:rPr>
      </w:pPr>
      <w:r w:rsidRPr="0010264B">
        <w:rPr>
          <w:rFonts w:eastAsia="Calibri"/>
          <w:sz w:val="22"/>
          <w:szCs w:val="22"/>
          <w:lang w:eastAsia="en-US"/>
        </w:rPr>
        <w:t>Należy pamiętać, że katalog ustawowy ma charakter otwarty. To oznacza, że strony umowy mogą przedstawiać dokumenty powołujące się na inne okoliczności niż wskazane bezpośrednio w tym katalogu. Niezależnie od okoliczności, na które powołuje się strona w informacji, bezwzględnie musi zostać spełniony warunek generalny - mają one związek z wystąpieniem COVID-19 oraz wpływają one lub mogą wpływać na należyte wykonanie wiążącej strony umowy.</w:t>
      </w:r>
    </w:p>
    <w:p w14:paraId="3E0F90A8" w14:textId="77777777" w:rsidR="00F01A52" w:rsidRPr="0010264B" w:rsidRDefault="00F01A52" w:rsidP="00F01A52">
      <w:pPr>
        <w:tabs>
          <w:tab w:val="left" w:pos="9072"/>
        </w:tabs>
        <w:spacing w:line="276" w:lineRule="auto"/>
        <w:ind w:left="708"/>
        <w:jc w:val="both"/>
        <w:rPr>
          <w:rFonts w:eastAsia="Calibri"/>
          <w:sz w:val="22"/>
          <w:szCs w:val="22"/>
          <w:lang w:eastAsia="en-US"/>
        </w:rPr>
      </w:pPr>
      <w:r w:rsidRPr="0010264B">
        <w:rPr>
          <w:rFonts w:eastAsia="Calibri"/>
          <w:sz w:val="22"/>
          <w:szCs w:val="22"/>
          <w:lang w:eastAsia="en-US"/>
        </w:rPr>
        <w:t>Dodatkowo, każda ze stron umowy o udzielenie zamówienia - w myśl art. 15r ust. 2 specustawy - w przypadku powzięcia wątpliwości, może zażądać od drugiej strony przedstawienia dodatkowych oświadczeń lub dokumentów potwierdzających, że podane w informacji okoliczności faktycznie związane są z wystąpieniem COVID-19 wpływają na wykonanie umowy.</w:t>
      </w:r>
    </w:p>
    <w:p w14:paraId="16D521ED" w14:textId="77B61E74" w:rsidR="00160E65" w:rsidRPr="00D147CC" w:rsidRDefault="00F01A52" w:rsidP="00D147CC">
      <w:pPr>
        <w:tabs>
          <w:tab w:val="left" w:pos="9072"/>
        </w:tabs>
        <w:spacing w:after="120" w:line="276" w:lineRule="auto"/>
        <w:ind w:left="708"/>
        <w:jc w:val="both"/>
        <w:rPr>
          <w:rFonts w:eastAsia="Calibri"/>
          <w:sz w:val="22"/>
          <w:szCs w:val="22"/>
          <w:lang w:eastAsia="en-US"/>
        </w:rPr>
      </w:pPr>
      <w:r w:rsidRPr="0010264B">
        <w:rPr>
          <w:rFonts w:eastAsia="Calibri"/>
          <w:sz w:val="22"/>
          <w:szCs w:val="22"/>
          <w:lang w:eastAsia="en-US"/>
        </w:rPr>
        <w:t>Wykonawca</w:t>
      </w:r>
      <w:r w:rsidR="00D147CC">
        <w:rPr>
          <w:rFonts w:eastAsia="Calibri"/>
          <w:sz w:val="22"/>
          <w:szCs w:val="22"/>
          <w:lang w:eastAsia="en-US"/>
        </w:rPr>
        <w:t xml:space="preserve"> </w:t>
      </w:r>
      <w:r w:rsidRPr="0010264B">
        <w:rPr>
          <w:rFonts w:eastAsia="Calibri"/>
          <w:sz w:val="22"/>
          <w:szCs w:val="22"/>
          <w:lang w:eastAsia="en-US"/>
        </w:rPr>
        <w:t>niezależnie od regulacji zawartej w art. 15r ust. 1 - powinien zawsze informować zamawiającego o każdej okoliczności, która ma lub może mieć wpływ na realizację umowy. Swoim działaniem wykonawca ma skutecznie wykazywać względem zamawiającego, że za wystąpienie tychże okoliczności wykonawca nie odpowiada bądź też, że pomimo zachowania należytej staranności wykonawca nie mógł zapobiec wystąpieniu tychże okoliczności. Ponadto niezwłoczne poinformowanie zamawiającego, o wystąpieniu lub możliwości wystąpienia tychże okoliczności, może się też przyczynić do uniknięcia lub ograniczenia ewentualnych szkód po stronie zamawiającego, niezależnie od ewentualnego zakresu odpowiedzialności wykonawcy.</w:t>
      </w:r>
    </w:p>
    <w:p w14:paraId="7CFDFA35" w14:textId="36920AB4" w:rsidR="00383D9F" w:rsidRDefault="00383D9F" w:rsidP="00E3691D">
      <w:pPr>
        <w:pStyle w:val="Akapitzlist"/>
        <w:numPr>
          <w:ilvl w:val="0"/>
          <w:numId w:val="7"/>
        </w:numPr>
        <w:autoSpaceDE w:val="0"/>
        <w:autoSpaceDN w:val="0"/>
        <w:adjustRightInd w:val="0"/>
        <w:ind w:left="426" w:hanging="426"/>
        <w:jc w:val="both"/>
      </w:pPr>
      <w:r>
        <w:t xml:space="preserve">W związku z ogłoszoną w środę 11 marca 2020 przez Światową Organizację Zdrowia pandemią choroby COVID-19 nastąpiło wejście w życie regulacji prawnych wprowadzających szczególne środki na czas pandemii, tj. Rozporządzenie Ministra </w:t>
      </w:r>
      <w:r>
        <w:lastRenderedPageBreak/>
        <w:t>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3674B585" w14:textId="77777777" w:rsidR="00383D9F" w:rsidRDefault="00383D9F" w:rsidP="00E3691D">
      <w:pPr>
        <w:autoSpaceDE w:val="0"/>
        <w:autoSpaceDN w:val="0"/>
        <w:adjustRightInd w:val="0"/>
        <w:ind w:left="714"/>
        <w:jc w:val="both"/>
      </w:pPr>
      <w:r>
        <w:t xml:space="preserve">-  szczególnych rozwiązań w okresie czasowego ograniczenia funkcjonowania jednostek systemu oświaty w związku z zapobieganiem, przeciwdziałaniem i zwalczaniem COVID-19, </w:t>
      </w:r>
    </w:p>
    <w:p w14:paraId="3664894E" w14:textId="77777777" w:rsidR="00383D9F" w:rsidRDefault="00383D9F" w:rsidP="00E3691D">
      <w:pPr>
        <w:autoSpaceDE w:val="0"/>
        <w:autoSpaceDN w:val="0"/>
        <w:adjustRightInd w:val="0"/>
        <w:ind w:left="714"/>
        <w:jc w:val="both"/>
      </w:pPr>
      <w:r>
        <w:t xml:space="preserve">- zmieniające rozporządzenie w sprawie czasowego ograniczenia funkcjonowania jednostek systemu oświaty w związku z zapobieganiem, przeciwdziałaniem i zwalczaniem COVID-19, które zawiesza funkcjonowanie placówek oświatowych w okresie do 10 kwietnia 2020 r. z możliwością jego przedłużenia. </w:t>
      </w:r>
    </w:p>
    <w:p w14:paraId="285D16FD" w14:textId="41F4B261" w:rsidR="00383D9F" w:rsidRDefault="00383D9F" w:rsidP="00D147CC">
      <w:pPr>
        <w:autoSpaceDE w:val="0"/>
        <w:autoSpaceDN w:val="0"/>
        <w:adjustRightInd w:val="0"/>
        <w:spacing w:after="120"/>
        <w:ind w:left="714"/>
        <w:jc w:val="both"/>
      </w:pPr>
      <w:r>
        <w:t xml:space="preserve">Jednocześnie stały wzrost przypadków </w:t>
      </w:r>
      <w:proofErr w:type="spellStart"/>
      <w:r>
        <w:t>zachorowań</w:t>
      </w:r>
      <w:proofErr w:type="spellEnd"/>
      <w:r>
        <w:t xml:space="preserve">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może wpłynąć negatywnie na współpracę z podwykonawcami, dostawcami, projektantami itp., a także wzrost cen produktów, usług i kosztów siły roboczej, którego rozmiarów nie sposób przewidzieć w momencie składania oferty. Wykonawca wskazuje, że powyższa sytuacja w dalszej perspektywie może spowodować istotne i nadzwyczajny wzrost kosztów wykonania umowy, co może narazić Wykonawcę na istotne straty. W związku z powyższym Wykonawca zapytuje, czy Zamawiający przewiduje możliwość podwyższenia wynagrodzenia z tytułu wykonania Umowy i w jakim zakresie w przypadku wykazania przez Wykonawcę istotnego wzrostu kosztów realizacji Umowy związanych z pandemią COVID-19? Jakich dowodów będzie oczekiwał Zamawiający w celu wykazania powyższych okoliczności?</w:t>
      </w:r>
    </w:p>
    <w:p w14:paraId="636C164B" w14:textId="1A983627" w:rsidR="00160E65" w:rsidRPr="00E30CD8" w:rsidRDefault="00E30CD8" w:rsidP="00E30CD8">
      <w:pPr>
        <w:spacing w:after="120"/>
        <w:ind w:left="426"/>
        <w:jc w:val="both"/>
        <w:rPr>
          <w:b/>
          <w:bCs/>
        </w:rPr>
      </w:pPr>
      <w:r w:rsidRPr="00E30CD8">
        <w:rPr>
          <w:b/>
          <w:bCs/>
        </w:rPr>
        <w:t xml:space="preserve">Odpowiedź: </w:t>
      </w:r>
      <w:r w:rsidRPr="00E30CD8">
        <w:t xml:space="preserve">Zamawiający nie przewiduje możliwości podwyższenia wynagrodzenia poza przypadkami określonymi a art. </w:t>
      </w:r>
      <w:r w:rsidRPr="00E30CD8">
        <w:t>455</w:t>
      </w:r>
      <w:r w:rsidRPr="00E30CD8">
        <w:t xml:space="preserve"> ustawy Prawo zamówień publicznych</w:t>
      </w:r>
      <w:r w:rsidRPr="00E30CD8">
        <w:rPr>
          <w:b/>
          <w:bCs/>
        </w:rPr>
        <w:t>.</w:t>
      </w:r>
    </w:p>
    <w:p w14:paraId="792017D0" w14:textId="526C2420" w:rsidR="00383D9F" w:rsidRPr="00E3691D" w:rsidRDefault="009272B7" w:rsidP="00D147CC">
      <w:pPr>
        <w:pStyle w:val="Akapitzlist"/>
        <w:widowControl w:val="0"/>
        <w:numPr>
          <w:ilvl w:val="0"/>
          <w:numId w:val="7"/>
        </w:numPr>
        <w:autoSpaceDE w:val="0"/>
        <w:autoSpaceDN w:val="0"/>
        <w:adjustRightInd w:val="0"/>
        <w:spacing w:after="120"/>
        <w:ind w:left="426" w:hanging="426"/>
        <w:jc w:val="both"/>
        <w:rPr>
          <w:rFonts w:cs="Calibri"/>
          <w:bCs/>
        </w:rPr>
      </w:pPr>
      <w:r>
        <w:t xml:space="preserve">Zamawiający wskazuje w Rozdziale XIV SWZ, pkt 2 iż „otwarcie ofert jest </w:t>
      </w:r>
      <w:r w:rsidRPr="00113CA1">
        <w:t>niejawne”,</w:t>
      </w:r>
      <w:r>
        <w:t xml:space="preserve"> prosimy o wskazanie podstawy i wyjaśnienie zapisu. Zgodnie z obowiązującą ustawą PZP, art. 18 ust. 1 mówi, postępowanie o udzielenie zamówienia publicznego jest jawne</w:t>
      </w:r>
      <w:r>
        <w:t>.</w:t>
      </w:r>
    </w:p>
    <w:p w14:paraId="19B2C7DA" w14:textId="2AD874A6" w:rsidR="00E3691D" w:rsidRPr="009272B7" w:rsidRDefault="00E3691D" w:rsidP="00E3691D">
      <w:pPr>
        <w:pStyle w:val="Akapitzlist"/>
        <w:widowControl w:val="0"/>
        <w:autoSpaceDE w:val="0"/>
        <w:autoSpaceDN w:val="0"/>
        <w:adjustRightInd w:val="0"/>
        <w:spacing w:after="120"/>
        <w:ind w:left="426"/>
        <w:jc w:val="both"/>
        <w:rPr>
          <w:rFonts w:cs="Calibri"/>
          <w:bCs/>
        </w:rPr>
      </w:pPr>
      <w:r w:rsidRPr="00652B95">
        <w:rPr>
          <w:b/>
          <w:bCs/>
        </w:rPr>
        <w:t>Odpowiedź</w:t>
      </w:r>
      <w:r>
        <w:t xml:space="preserve">: </w:t>
      </w:r>
      <w:r w:rsidR="007D7684">
        <w:t xml:space="preserve">Ustawa </w:t>
      </w:r>
      <w:proofErr w:type="spellStart"/>
      <w:r w:rsidR="007D7684">
        <w:t>Pzp</w:t>
      </w:r>
      <w:proofErr w:type="spellEnd"/>
      <w:r w:rsidR="007D7684">
        <w:t xml:space="preserve"> nie nakłada na Zamawiającego obowiązku jawnego otwarcia ofert: </w:t>
      </w:r>
      <w:r w:rsidR="00652B95">
        <w:t xml:space="preserve">Zgodnie z </w:t>
      </w:r>
      <w:r w:rsidR="007D7684">
        <w:t>art. 222.1 „Otwarcie ofert nas</w:t>
      </w:r>
      <w:r w:rsidR="00652B95">
        <w:t>t</w:t>
      </w:r>
      <w:r w:rsidR="007D7684">
        <w:t>ępuje niezwłocznie po upływie terminu składania ofert, nie późnie</w:t>
      </w:r>
      <w:r w:rsidR="00652B95">
        <w:t xml:space="preserve">j niż następnego dnia po dniu, w którym upłynął termin składania ofert”. Z uwagi na to, że często występują przeciążenia platformy </w:t>
      </w:r>
      <w:proofErr w:type="spellStart"/>
      <w:r w:rsidR="00652B95">
        <w:t>ePuap</w:t>
      </w:r>
      <w:proofErr w:type="spellEnd"/>
      <w:r w:rsidR="00652B95">
        <w:t xml:space="preserve"> proces pobierania ofert i ich deszyfrowania bywa długotrwały</w:t>
      </w:r>
      <w:r w:rsidR="00113CA1">
        <w:t>,</w:t>
      </w:r>
      <w:r w:rsidR="00652B95">
        <w:t xml:space="preserve"> </w:t>
      </w:r>
      <w:r w:rsidR="00065648">
        <w:t>udział Wykonawców w sesji otwarcia ofert rodziłby pewne utrudnienia. Jednak nie ma też przeciwwskazań do uczestniczenia Wykonawców przy otwarciu ofert.</w:t>
      </w:r>
    </w:p>
    <w:p w14:paraId="3EB455EE" w14:textId="55D89850" w:rsidR="009272B7" w:rsidRDefault="009272B7" w:rsidP="00D147CC">
      <w:pPr>
        <w:pStyle w:val="Akapitzlist"/>
        <w:numPr>
          <w:ilvl w:val="0"/>
          <w:numId w:val="7"/>
        </w:numPr>
        <w:spacing w:after="120"/>
        <w:ind w:left="426" w:hanging="426"/>
        <w:jc w:val="both"/>
      </w:pPr>
      <w:r w:rsidRPr="009272B7">
        <w:lastRenderedPageBreak/>
        <w:t>Informujemy</w:t>
      </w:r>
      <w:r w:rsidRPr="009272B7">
        <w:rPr>
          <w:color w:val="000000"/>
        </w:rPr>
        <w:t>,</w:t>
      </w:r>
      <w:r w:rsidRPr="009272B7">
        <w:t xml:space="preserve"> że załączona SST w części dla mieszanek mineralno-asfaltowych odnosi się do nieaktualnych i wycofanych norm. Czy Zamawiający dopuszcza wykonanie mieszanek mineralno-asfaltowych zgodnie z dokumentem WT2 2014.</w:t>
      </w:r>
    </w:p>
    <w:p w14:paraId="71582155" w14:textId="78E8F622" w:rsidR="00E3691D" w:rsidRPr="009272B7" w:rsidRDefault="00E3691D" w:rsidP="00E3691D">
      <w:pPr>
        <w:pStyle w:val="Akapitzlist"/>
        <w:spacing w:after="120"/>
        <w:ind w:left="426"/>
        <w:jc w:val="both"/>
      </w:pPr>
      <w:r w:rsidRPr="00E3691D">
        <w:rPr>
          <w:b/>
          <w:bCs/>
        </w:rPr>
        <w:t>Odpowiedź:</w:t>
      </w:r>
      <w:r>
        <w:t xml:space="preserve"> Zamawiający dopuszcza wykonanie mieszanek mineralno-asfaltowych zgodnie z WT2 2014.</w:t>
      </w:r>
    </w:p>
    <w:p w14:paraId="27515AA9" w14:textId="06B62868" w:rsidR="009272B7" w:rsidRDefault="009272B7" w:rsidP="003822B3">
      <w:pPr>
        <w:pStyle w:val="Akapitzlist"/>
        <w:numPr>
          <w:ilvl w:val="0"/>
          <w:numId w:val="7"/>
        </w:numPr>
        <w:spacing w:after="120"/>
        <w:ind w:left="426" w:hanging="426"/>
      </w:pPr>
      <w:r w:rsidRPr="009272B7">
        <w:t>Prosimy o jednoznaczne wskazanie wymaganej kategorii ruchu dla mieszanek mineralno-asfaltowych.</w:t>
      </w:r>
    </w:p>
    <w:p w14:paraId="1538E292" w14:textId="13CE4F68" w:rsidR="00E3691D" w:rsidRPr="009272B7" w:rsidRDefault="00E3691D" w:rsidP="00E3691D">
      <w:pPr>
        <w:pStyle w:val="Akapitzlist"/>
        <w:spacing w:after="120"/>
        <w:ind w:left="426"/>
      </w:pPr>
      <w:r w:rsidRPr="00E3691D">
        <w:rPr>
          <w:b/>
          <w:bCs/>
        </w:rPr>
        <w:t>Odpowiedź</w:t>
      </w:r>
      <w:r>
        <w:t xml:space="preserve">: </w:t>
      </w:r>
      <w:r w:rsidRPr="00E477C5">
        <w:t xml:space="preserve">KR </w:t>
      </w:r>
      <w:r w:rsidR="00E477C5" w:rsidRPr="00E477C5">
        <w:t>2</w:t>
      </w:r>
      <w:r w:rsidRPr="00E477C5">
        <w:t>.</w:t>
      </w:r>
    </w:p>
    <w:p w14:paraId="770FDF01" w14:textId="3DF65CE1" w:rsidR="009272B7" w:rsidRPr="00E3691D" w:rsidRDefault="009272B7" w:rsidP="00E3691D">
      <w:pPr>
        <w:pStyle w:val="Akapitzlist"/>
        <w:numPr>
          <w:ilvl w:val="0"/>
          <w:numId w:val="7"/>
        </w:numPr>
        <w:spacing w:after="120"/>
        <w:ind w:left="426" w:hanging="426"/>
        <w:jc w:val="both"/>
        <w:rPr>
          <w:color w:val="000000"/>
        </w:rPr>
      </w:pPr>
      <w:r w:rsidRPr="009272B7">
        <w:t xml:space="preserve">Czy Zamawiający mając na uwadze trwałości jezdni, dopuszcza wykonanie warstwy ścieralnej z AC 11 S, zgodnie z zakładaną projektową grubością 5cm. </w:t>
      </w:r>
    </w:p>
    <w:p w14:paraId="2F5609DE" w14:textId="0D35062D" w:rsidR="00E3691D" w:rsidRPr="009272B7" w:rsidRDefault="00E3691D" w:rsidP="00E3691D">
      <w:pPr>
        <w:pStyle w:val="Akapitzlist"/>
        <w:spacing w:after="120"/>
        <w:ind w:left="426"/>
        <w:jc w:val="both"/>
        <w:rPr>
          <w:color w:val="000000"/>
        </w:rPr>
      </w:pPr>
      <w:r w:rsidRPr="007B0047">
        <w:rPr>
          <w:b/>
          <w:bCs/>
        </w:rPr>
        <w:t>Odpowiedź</w:t>
      </w:r>
      <w:r w:rsidRPr="007B0047">
        <w:t>:</w:t>
      </w:r>
      <w:r>
        <w:t xml:space="preserve"> </w:t>
      </w:r>
      <w:r w:rsidR="007B0047">
        <w:t>Tak, Zamawiający dopuszcza wykonanie warstwy ścieralnej z AC 11 S.</w:t>
      </w:r>
    </w:p>
    <w:p w14:paraId="36EB32DC" w14:textId="77777777" w:rsidR="009272B7" w:rsidRPr="009272B7" w:rsidRDefault="009272B7" w:rsidP="00D147CC">
      <w:pPr>
        <w:pStyle w:val="Akapitzlist"/>
        <w:numPr>
          <w:ilvl w:val="0"/>
          <w:numId w:val="7"/>
        </w:numPr>
        <w:ind w:left="426" w:hanging="426"/>
        <w:jc w:val="both"/>
      </w:pPr>
      <w:r w:rsidRPr="009272B7">
        <w:t>W SIWZ pkt.  Zamawiający wskazuje, że wykonawca ma wykonać odcinek próbny o pow. 500 m2 (warstwa wyrównawcza i ścieralna) na drodze pow. nr 1367C Nogat-Wydrzno – odległość około 8 km od placu budowy.</w:t>
      </w:r>
    </w:p>
    <w:p w14:paraId="780AE162" w14:textId="55D60C9C" w:rsidR="009272B7" w:rsidRDefault="009272B7" w:rsidP="003822B3">
      <w:pPr>
        <w:pStyle w:val="Akapitzlist"/>
        <w:spacing w:after="120"/>
        <w:ind w:left="426"/>
      </w:pPr>
      <w:r w:rsidRPr="009272B7">
        <w:t>Czy odcinek próbny jest ujęty w przedmiarze robót?</w:t>
      </w:r>
    </w:p>
    <w:p w14:paraId="0FAE928B" w14:textId="391A87F7" w:rsidR="003822B3" w:rsidRPr="009272B7" w:rsidRDefault="003822B3" w:rsidP="003822B3">
      <w:pPr>
        <w:pStyle w:val="Akapitzlist"/>
        <w:spacing w:after="120"/>
        <w:ind w:left="426"/>
      </w:pPr>
      <w:r w:rsidRPr="003822B3">
        <w:rPr>
          <w:b/>
          <w:bCs/>
        </w:rPr>
        <w:t>Odpowiedź</w:t>
      </w:r>
      <w:r>
        <w:t>: Odcinek próbny nie jest ujęty w przedmiarze robót.</w:t>
      </w:r>
    </w:p>
    <w:p w14:paraId="54756709" w14:textId="49DED8FC" w:rsidR="009272B7" w:rsidRDefault="009272B7" w:rsidP="00E3691D">
      <w:pPr>
        <w:pStyle w:val="Akapitzlist"/>
        <w:numPr>
          <w:ilvl w:val="0"/>
          <w:numId w:val="7"/>
        </w:numPr>
        <w:spacing w:after="120"/>
        <w:ind w:left="426" w:hanging="426"/>
      </w:pPr>
      <w:r w:rsidRPr="009272B7">
        <w:t>Prosimy o informację z jakiego materiału należy wykonać przepust z rur PVC zgodnie z kosztorysem czy z rur betonowych wg SST?</w:t>
      </w:r>
    </w:p>
    <w:p w14:paraId="0537159D" w14:textId="314A436D" w:rsidR="003822B3" w:rsidRPr="009272B7" w:rsidRDefault="003822B3" w:rsidP="003822B3">
      <w:pPr>
        <w:pStyle w:val="Akapitzlist"/>
        <w:spacing w:after="120"/>
        <w:ind w:left="426"/>
      </w:pPr>
      <w:r w:rsidRPr="003822B3">
        <w:rPr>
          <w:b/>
          <w:bCs/>
        </w:rPr>
        <w:t>Odpowiedź:</w:t>
      </w:r>
      <w:r>
        <w:t xml:space="preserve"> Przepust należy wykonać z rur PVC.</w:t>
      </w:r>
    </w:p>
    <w:p w14:paraId="36FE969E" w14:textId="09098444" w:rsidR="009272B7" w:rsidRDefault="009272B7" w:rsidP="00E3691D">
      <w:pPr>
        <w:pStyle w:val="Akapitzlist"/>
        <w:numPr>
          <w:ilvl w:val="0"/>
          <w:numId w:val="7"/>
        </w:numPr>
        <w:spacing w:after="120"/>
        <w:ind w:left="426" w:hanging="426"/>
        <w:jc w:val="both"/>
      </w:pPr>
      <w:r w:rsidRPr="009272B7">
        <w:t>Zgodnie z przekrojami oraz opisem technicznym w konstrukcji poszerzenia podbudowa z gruntu stabilizowanego cementem w ilości 25 kg/m2 jest gr. 10 cm, natomiast w przedmiarze robót jest 15 cm, prosimy o wyjaśnienie rozbieżności.</w:t>
      </w:r>
    </w:p>
    <w:p w14:paraId="4D23EC1C" w14:textId="2E7FD427" w:rsidR="003822B3" w:rsidRPr="009272B7" w:rsidRDefault="003822B3" w:rsidP="003822B3">
      <w:pPr>
        <w:pStyle w:val="Akapitzlist"/>
        <w:spacing w:after="120"/>
        <w:ind w:left="426"/>
      </w:pPr>
      <w:r w:rsidRPr="007B0047">
        <w:rPr>
          <w:b/>
          <w:bCs/>
        </w:rPr>
        <w:t>Odpowiedź</w:t>
      </w:r>
      <w:r>
        <w:t>: Należy przyjąć grubość 15 cm zgodnie z przedmiarem.</w:t>
      </w:r>
    </w:p>
    <w:p w14:paraId="6DDBFFCA" w14:textId="5D340AA9" w:rsidR="009272B7" w:rsidRDefault="009272B7" w:rsidP="00E3691D">
      <w:pPr>
        <w:pStyle w:val="Akapitzlist"/>
        <w:numPr>
          <w:ilvl w:val="0"/>
          <w:numId w:val="7"/>
        </w:numPr>
        <w:spacing w:after="120"/>
        <w:ind w:left="426" w:hanging="426"/>
        <w:jc w:val="both"/>
      </w:pPr>
      <w:r w:rsidRPr="009272B7">
        <w:t>Na przekroju normalnym są wskazane projektowane wjazdy z kostki betonowej, wg opisu technicznego oraz w przedmiarze wjazdy należy wykonać z MMA. Prosimy o wyjaśnienie, czy wjazdy należy wykonać z MMA czy z kostki betonowej? Jeżeli należy wykonać dodatkowe wjazdy z kostki bet., prosimy o podanie ilości w m2.</w:t>
      </w:r>
    </w:p>
    <w:p w14:paraId="3089ED81" w14:textId="59464576" w:rsidR="00E3691D" w:rsidRPr="009272B7" w:rsidRDefault="00E3691D" w:rsidP="00E3691D">
      <w:pPr>
        <w:pStyle w:val="Akapitzlist"/>
        <w:spacing w:after="120"/>
        <w:ind w:left="426"/>
        <w:jc w:val="both"/>
      </w:pPr>
      <w:r w:rsidRPr="007B0047">
        <w:rPr>
          <w:b/>
          <w:bCs/>
        </w:rPr>
        <w:t>Odpowiedź</w:t>
      </w:r>
      <w:r>
        <w:t xml:space="preserve">: </w:t>
      </w:r>
      <w:r w:rsidR="00E477C5">
        <w:t>Wjazdy należy wykonać z MMA.</w:t>
      </w:r>
    </w:p>
    <w:p w14:paraId="2BF0DDDF" w14:textId="05A551F8" w:rsidR="009272B7" w:rsidRDefault="009272B7" w:rsidP="00E477C5">
      <w:pPr>
        <w:pStyle w:val="Akapitzlist"/>
        <w:numPr>
          <w:ilvl w:val="0"/>
          <w:numId w:val="7"/>
        </w:numPr>
        <w:spacing w:after="120"/>
        <w:ind w:left="426" w:hanging="426"/>
        <w:jc w:val="both"/>
      </w:pPr>
      <w:r w:rsidRPr="009272B7">
        <w:t>Zgodnie z opisem technicznym należy „zapoznać się szczegółowo z uzgodnieniami branżowymi”. Prosimy o dołączenie uzgodnień.</w:t>
      </w:r>
    </w:p>
    <w:p w14:paraId="32464A1F" w14:textId="517E7611" w:rsidR="00E3691D" w:rsidRPr="009272B7" w:rsidRDefault="00E3691D" w:rsidP="00830C69">
      <w:pPr>
        <w:pStyle w:val="Akapitzlist"/>
        <w:ind w:left="426"/>
        <w:jc w:val="both"/>
      </w:pPr>
      <w:r w:rsidRPr="00830C69">
        <w:rPr>
          <w:b/>
          <w:bCs/>
        </w:rPr>
        <w:t>Odpowiedź</w:t>
      </w:r>
      <w:r w:rsidRPr="00D31234">
        <w:t xml:space="preserve">: </w:t>
      </w:r>
      <w:r w:rsidR="00D31234" w:rsidRPr="00D31234">
        <w:t>Uzgodnienia zostały zamieszczone na stronie Zamawiającego.</w:t>
      </w:r>
      <w:r w:rsidR="00830C69">
        <w:t xml:space="preserve"> Uzgodnienia są z 2014 i 2016 r. jednak z uwagi na to, że remont drogi jest wykonywany w etapach od 2016 r., uzgodnienia są aktualne.</w:t>
      </w:r>
    </w:p>
    <w:p w14:paraId="05684A91" w14:textId="6FBED817" w:rsidR="009272B7" w:rsidRDefault="009272B7" w:rsidP="00EC43CB">
      <w:pPr>
        <w:pStyle w:val="Akapitzlist"/>
        <w:widowControl w:val="0"/>
        <w:autoSpaceDE w:val="0"/>
        <w:autoSpaceDN w:val="0"/>
        <w:adjustRightInd w:val="0"/>
        <w:ind w:left="426" w:hanging="426"/>
        <w:rPr>
          <w:rFonts w:cs="Calibri"/>
          <w:bCs/>
        </w:rPr>
      </w:pPr>
    </w:p>
    <w:p w14:paraId="0774E04C" w14:textId="29CD737E" w:rsidR="00830C69" w:rsidRDefault="00830C69" w:rsidP="00EC43CB">
      <w:pPr>
        <w:pStyle w:val="Akapitzlist"/>
        <w:widowControl w:val="0"/>
        <w:autoSpaceDE w:val="0"/>
        <w:autoSpaceDN w:val="0"/>
        <w:adjustRightInd w:val="0"/>
        <w:ind w:left="426" w:hanging="426"/>
        <w:rPr>
          <w:rFonts w:cs="Calibri"/>
          <w:bCs/>
        </w:rPr>
      </w:pPr>
    </w:p>
    <w:p w14:paraId="49D45EDF" w14:textId="1028C548" w:rsidR="00830C69" w:rsidRPr="00830C69" w:rsidRDefault="00830C69" w:rsidP="00830C69">
      <w:pPr>
        <w:pStyle w:val="Akapitzlist"/>
        <w:widowControl w:val="0"/>
        <w:autoSpaceDE w:val="0"/>
        <w:autoSpaceDN w:val="0"/>
        <w:adjustRightInd w:val="0"/>
        <w:ind w:left="6516" w:hanging="426"/>
        <w:rPr>
          <w:rFonts w:cs="Calibri"/>
          <w:b/>
        </w:rPr>
      </w:pPr>
      <w:r w:rsidRPr="00830C69">
        <w:rPr>
          <w:rFonts w:cs="Calibri"/>
          <w:b/>
        </w:rPr>
        <w:t xml:space="preserve">Jakub </w:t>
      </w:r>
      <w:proofErr w:type="spellStart"/>
      <w:r w:rsidRPr="00830C69">
        <w:rPr>
          <w:rFonts w:cs="Calibri"/>
          <w:b/>
        </w:rPr>
        <w:t>Tadych</w:t>
      </w:r>
      <w:proofErr w:type="spellEnd"/>
    </w:p>
    <w:p w14:paraId="07250D11" w14:textId="53DCB813" w:rsidR="00830C69" w:rsidRPr="00830C69" w:rsidRDefault="00830C69" w:rsidP="00830C69">
      <w:pPr>
        <w:pStyle w:val="Akapitzlist"/>
        <w:widowControl w:val="0"/>
        <w:autoSpaceDE w:val="0"/>
        <w:autoSpaceDN w:val="0"/>
        <w:adjustRightInd w:val="0"/>
        <w:ind w:left="6516" w:hanging="426"/>
        <w:rPr>
          <w:rFonts w:cs="Calibri"/>
          <w:b/>
        </w:rPr>
      </w:pPr>
      <w:r w:rsidRPr="00830C69">
        <w:rPr>
          <w:rFonts w:cs="Calibri"/>
          <w:b/>
        </w:rPr>
        <w:t>p.o. Kierownika PZD</w:t>
      </w:r>
    </w:p>
    <w:sectPr w:rsidR="00830C69" w:rsidRPr="00830C69" w:rsidSect="002C008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F8C9F" w14:textId="77777777" w:rsidR="000333FC" w:rsidRDefault="000333FC">
      <w:r>
        <w:separator/>
      </w:r>
    </w:p>
  </w:endnote>
  <w:endnote w:type="continuationSeparator" w:id="0">
    <w:p w14:paraId="27B04C4D" w14:textId="77777777" w:rsidR="000333FC" w:rsidRDefault="0003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9A373" w14:textId="77777777" w:rsidR="000333FC" w:rsidRDefault="000333FC">
      <w:r>
        <w:separator/>
      </w:r>
    </w:p>
  </w:footnote>
  <w:footnote w:type="continuationSeparator" w:id="0">
    <w:p w14:paraId="7D656CDB" w14:textId="77777777" w:rsidR="000333FC" w:rsidRDefault="0003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75CA"/>
    <w:multiLevelType w:val="hybridMultilevel"/>
    <w:tmpl w:val="4D7296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CA1BCA"/>
    <w:multiLevelType w:val="multilevel"/>
    <w:tmpl w:val="938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7E69"/>
    <w:multiLevelType w:val="hybridMultilevel"/>
    <w:tmpl w:val="61243318"/>
    <w:lvl w:ilvl="0" w:tplc="BE880FEA">
      <w:start w:val="15"/>
      <w:numFmt w:val="decimal"/>
      <w:lvlText w:val="%1."/>
      <w:lvlJc w:val="left"/>
      <w:pPr>
        <w:ind w:left="1788" w:hanging="360"/>
      </w:pPr>
      <w:rPr>
        <w:rFonts w:cs="Calibri"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15:restartNumberingAfterBreak="0">
    <w:nsid w:val="300612A8"/>
    <w:multiLevelType w:val="hybridMultilevel"/>
    <w:tmpl w:val="0E729898"/>
    <w:lvl w:ilvl="0" w:tplc="195EAF8E">
      <w:start w:val="1"/>
      <w:numFmt w:val="decimal"/>
      <w:lvlText w:val="%1."/>
      <w:lvlJc w:val="left"/>
      <w:pPr>
        <w:ind w:left="1074" w:hanging="360"/>
      </w:pPr>
      <w:rPr>
        <w:rFonts w:cs="Calibri"/>
      </w:r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4" w15:restartNumberingAfterBreak="0">
    <w:nsid w:val="34556B9A"/>
    <w:multiLevelType w:val="hybridMultilevel"/>
    <w:tmpl w:val="47A4D340"/>
    <w:lvl w:ilvl="0" w:tplc="DFECEB08">
      <w:start w:val="14"/>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35855F6D"/>
    <w:multiLevelType w:val="hybridMultilevel"/>
    <w:tmpl w:val="27846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D6161D"/>
    <w:multiLevelType w:val="hybridMultilevel"/>
    <w:tmpl w:val="0C2E9292"/>
    <w:lvl w:ilvl="0" w:tplc="7D8AB1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7C1342C3"/>
    <w:multiLevelType w:val="hybridMultilevel"/>
    <w:tmpl w:val="3412DE02"/>
    <w:lvl w:ilvl="0" w:tplc="1FA8E650">
      <w:start w:val="15"/>
      <w:numFmt w:val="decimal"/>
      <w:lvlText w:val="%1."/>
      <w:lvlJc w:val="left"/>
      <w:pPr>
        <w:ind w:left="1074"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FA2C19"/>
    <w:multiLevelType w:val="hybridMultilevel"/>
    <w:tmpl w:val="1CF4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4"/>
  </w:num>
  <w:num w:numId="7">
    <w:abstractNumId w:val="7"/>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4A3"/>
    <w:rsid w:val="000333FC"/>
    <w:rsid w:val="00041730"/>
    <w:rsid w:val="00045720"/>
    <w:rsid w:val="00065648"/>
    <w:rsid w:val="00113CA1"/>
    <w:rsid w:val="00160E65"/>
    <w:rsid w:val="00181CC3"/>
    <w:rsid w:val="00184173"/>
    <w:rsid w:val="00190F11"/>
    <w:rsid w:val="001B4FAB"/>
    <w:rsid w:val="00231DD6"/>
    <w:rsid w:val="002331F0"/>
    <w:rsid w:val="00295497"/>
    <w:rsid w:val="002C0088"/>
    <w:rsid w:val="002D2791"/>
    <w:rsid w:val="00301041"/>
    <w:rsid w:val="003822B3"/>
    <w:rsid w:val="00383D9F"/>
    <w:rsid w:val="003C738D"/>
    <w:rsid w:val="003F3F3A"/>
    <w:rsid w:val="0045677F"/>
    <w:rsid w:val="00462F17"/>
    <w:rsid w:val="004D2F03"/>
    <w:rsid w:val="005024F7"/>
    <w:rsid w:val="005A5769"/>
    <w:rsid w:val="005E3A72"/>
    <w:rsid w:val="00652B95"/>
    <w:rsid w:val="006B7638"/>
    <w:rsid w:val="00713B27"/>
    <w:rsid w:val="007A0802"/>
    <w:rsid w:val="007B0047"/>
    <w:rsid w:val="007D7684"/>
    <w:rsid w:val="00830C69"/>
    <w:rsid w:val="008360A9"/>
    <w:rsid w:val="00841FF3"/>
    <w:rsid w:val="0085357F"/>
    <w:rsid w:val="008A7182"/>
    <w:rsid w:val="008F0430"/>
    <w:rsid w:val="00921FE8"/>
    <w:rsid w:val="009272B7"/>
    <w:rsid w:val="00936132"/>
    <w:rsid w:val="009644A3"/>
    <w:rsid w:val="009A723C"/>
    <w:rsid w:val="00A9470C"/>
    <w:rsid w:val="00B50C66"/>
    <w:rsid w:val="00BC4AFD"/>
    <w:rsid w:val="00C71B23"/>
    <w:rsid w:val="00C76DFE"/>
    <w:rsid w:val="00CD0823"/>
    <w:rsid w:val="00CE07F0"/>
    <w:rsid w:val="00CE40D7"/>
    <w:rsid w:val="00D147CC"/>
    <w:rsid w:val="00D31234"/>
    <w:rsid w:val="00D3719C"/>
    <w:rsid w:val="00E04063"/>
    <w:rsid w:val="00E30CD8"/>
    <w:rsid w:val="00E3691D"/>
    <w:rsid w:val="00E477C5"/>
    <w:rsid w:val="00EC43CB"/>
    <w:rsid w:val="00EF524D"/>
    <w:rsid w:val="00F00D3A"/>
    <w:rsid w:val="00F01A52"/>
    <w:rsid w:val="00F07237"/>
    <w:rsid w:val="00F152D8"/>
    <w:rsid w:val="00F24723"/>
    <w:rsid w:val="00F27989"/>
    <w:rsid w:val="00F4123A"/>
    <w:rsid w:val="00F63B28"/>
    <w:rsid w:val="00F75AF1"/>
    <w:rsid w:val="00F952DD"/>
    <w:rsid w:val="00FE0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5897"/>
  <w15:docId w15:val="{57F64795-69F8-48B3-8E96-03533B83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08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0088"/>
    <w:pPr>
      <w:ind w:left="708"/>
    </w:pPr>
  </w:style>
  <w:style w:type="paragraph" w:styleId="Nagwek">
    <w:name w:val="header"/>
    <w:basedOn w:val="Normalny"/>
    <w:link w:val="NagwekZnak"/>
    <w:uiPriority w:val="99"/>
    <w:unhideWhenUsed/>
    <w:rsid w:val="00F75AF1"/>
    <w:pPr>
      <w:tabs>
        <w:tab w:val="center" w:pos="4536"/>
        <w:tab w:val="right" w:pos="9072"/>
      </w:tabs>
    </w:pPr>
  </w:style>
  <w:style w:type="character" w:customStyle="1" w:styleId="NagwekZnak">
    <w:name w:val="Nagłówek Znak"/>
    <w:basedOn w:val="Domylnaczcionkaakapitu"/>
    <w:link w:val="Nagwek"/>
    <w:uiPriority w:val="99"/>
    <w:rsid w:val="00F75A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75AF1"/>
    <w:pPr>
      <w:tabs>
        <w:tab w:val="center" w:pos="4536"/>
        <w:tab w:val="right" w:pos="9072"/>
      </w:tabs>
    </w:pPr>
  </w:style>
  <w:style w:type="character" w:customStyle="1" w:styleId="StopkaZnak">
    <w:name w:val="Stopka Znak"/>
    <w:basedOn w:val="Domylnaczcionkaakapitu"/>
    <w:link w:val="Stopka"/>
    <w:uiPriority w:val="99"/>
    <w:rsid w:val="00F75A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3719C"/>
    <w:rPr>
      <w:rFonts w:ascii="Tahoma" w:hAnsi="Tahoma" w:cs="Tahoma"/>
      <w:sz w:val="16"/>
      <w:szCs w:val="16"/>
    </w:rPr>
  </w:style>
  <w:style w:type="character" w:customStyle="1" w:styleId="TekstdymkaZnak">
    <w:name w:val="Tekst dymka Znak"/>
    <w:basedOn w:val="Domylnaczcionkaakapitu"/>
    <w:link w:val="Tekstdymka"/>
    <w:uiPriority w:val="99"/>
    <w:semiHidden/>
    <w:rsid w:val="00D3719C"/>
    <w:rPr>
      <w:rFonts w:ascii="Tahoma" w:eastAsia="Times New Roman" w:hAnsi="Tahoma" w:cs="Tahoma"/>
      <w:sz w:val="16"/>
      <w:szCs w:val="16"/>
      <w:lang w:eastAsia="pl-PL"/>
    </w:rPr>
  </w:style>
  <w:style w:type="character" w:styleId="Hipercze">
    <w:name w:val="Hyperlink"/>
    <w:basedOn w:val="Domylnaczcionkaakapitu"/>
    <w:uiPriority w:val="99"/>
    <w:unhideWhenUsed/>
    <w:rsid w:val="00F01A52"/>
    <w:rPr>
      <w:color w:val="0000FF" w:themeColor="hyperlink"/>
      <w:u w:val="single"/>
    </w:rPr>
  </w:style>
  <w:style w:type="character" w:customStyle="1" w:styleId="size">
    <w:name w:val="size"/>
    <w:basedOn w:val="Domylnaczcionkaakapitu"/>
    <w:rsid w:val="00181CC3"/>
  </w:style>
  <w:style w:type="paragraph" w:styleId="Tekstprzypisudolnego">
    <w:name w:val="footnote text"/>
    <w:basedOn w:val="Normalny"/>
    <w:link w:val="TekstprzypisudolnegoZnak"/>
    <w:uiPriority w:val="99"/>
    <w:semiHidden/>
    <w:unhideWhenUsed/>
    <w:rsid w:val="007D7684"/>
    <w:rPr>
      <w:sz w:val="20"/>
      <w:szCs w:val="20"/>
    </w:rPr>
  </w:style>
  <w:style w:type="character" w:customStyle="1" w:styleId="TekstprzypisudolnegoZnak">
    <w:name w:val="Tekst przypisu dolnego Znak"/>
    <w:basedOn w:val="Domylnaczcionkaakapitu"/>
    <w:link w:val="Tekstprzypisudolnego"/>
    <w:uiPriority w:val="99"/>
    <w:semiHidden/>
    <w:rsid w:val="007D768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7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128750">
      <w:bodyDiv w:val="1"/>
      <w:marLeft w:val="0"/>
      <w:marRight w:val="0"/>
      <w:marTop w:val="0"/>
      <w:marBottom w:val="0"/>
      <w:divBdr>
        <w:top w:val="none" w:sz="0" w:space="0" w:color="auto"/>
        <w:left w:val="none" w:sz="0" w:space="0" w:color="auto"/>
        <w:bottom w:val="none" w:sz="0" w:space="0" w:color="auto"/>
        <w:right w:val="none" w:sz="0" w:space="0" w:color="auto"/>
      </w:divBdr>
    </w:div>
    <w:div w:id="1420447970">
      <w:bodyDiv w:val="1"/>
      <w:marLeft w:val="0"/>
      <w:marRight w:val="0"/>
      <w:marTop w:val="0"/>
      <w:marBottom w:val="0"/>
      <w:divBdr>
        <w:top w:val="none" w:sz="0" w:space="0" w:color="auto"/>
        <w:left w:val="none" w:sz="0" w:space="0" w:color="auto"/>
        <w:bottom w:val="none" w:sz="0" w:space="0" w:color="auto"/>
        <w:right w:val="none" w:sz="0" w:space="0" w:color="auto"/>
      </w:divBdr>
    </w:div>
    <w:div w:id="1735161169">
      <w:bodyDiv w:val="1"/>
      <w:marLeft w:val="0"/>
      <w:marRight w:val="0"/>
      <w:marTop w:val="0"/>
      <w:marBottom w:val="0"/>
      <w:divBdr>
        <w:top w:val="none" w:sz="0" w:space="0" w:color="auto"/>
        <w:left w:val="none" w:sz="0" w:space="0" w:color="auto"/>
        <w:bottom w:val="none" w:sz="0" w:space="0" w:color="auto"/>
        <w:right w:val="none" w:sz="0" w:space="0" w:color="auto"/>
      </w:divBdr>
    </w:div>
    <w:div w:id="18145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FBBC-BBA7-4AD7-A96A-0C328392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2388</Words>
  <Characters>14329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Hanna Pawlak</cp:lastModifiedBy>
  <cp:revision>11</cp:revision>
  <cp:lastPrinted>2021-02-03T12:05:00Z</cp:lastPrinted>
  <dcterms:created xsi:type="dcterms:W3CDTF">2020-01-15T08:50:00Z</dcterms:created>
  <dcterms:modified xsi:type="dcterms:W3CDTF">2021-02-03T12:06:00Z</dcterms:modified>
</cp:coreProperties>
</file>